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E18B" w14:textId="77777777" w:rsidR="00AD0716" w:rsidRDefault="00AD0716">
      <w:pPr>
        <w:rPr>
          <w:rStyle w:val="Strong"/>
          <w:rFonts w:eastAsiaTheme="majorEastAsia" w:cs="Arial"/>
          <w:sz w:val="28"/>
          <w:szCs w:val="28"/>
        </w:rPr>
      </w:pPr>
    </w:p>
    <w:p w14:paraId="788C1346" w14:textId="77777777" w:rsidR="00AF0686" w:rsidRPr="007E346A" w:rsidRDefault="00E90237">
      <w:pPr>
        <w:rPr>
          <w:rFonts w:ascii="Helvetica" w:hAnsi="Helvetica" w:cs="Arial"/>
          <w:sz w:val="32"/>
          <w:szCs w:val="32"/>
        </w:rPr>
      </w:pPr>
      <w:r w:rsidRPr="007E346A">
        <w:rPr>
          <w:rStyle w:val="Strong"/>
          <w:rFonts w:ascii="Helvetica" w:eastAsiaTheme="majorEastAsia" w:hAnsi="Helvetica" w:cs="Arial"/>
          <w:sz w:val="32"/>
          <w:szCs w:val="32"/>
        </w:rPr>
        <w:t>Job Title:</w:t>
      </w:r>
      <w:r w:rsidRPr="007E346A">
        <w:rPr>
          <w:rFonts w:ascii="Helvetica" w:hAnsi="Helvetica" w:cs="Arial"/>
          <w:sz w:val="32"/>
          <w:szCs w:val="32"/>
        </w:rPr>
        <w:t xml:space="preserve"> Consultant – Theory of Change Data Segmentation Analysis</w:t>
      </w:r>
      <w:r w:rsidRPr="007E346A">
        <w:rPr>
          <w:rFonts w:ascii="Helvetica" w:hAnsi="Helvetica" w:cs="Arial"/>
          <w:sz w:val="32"/>
          <w:szCs w:val="32"/>
        </w:rPr>
        <w:br/>
      </w:r>
      <w:r w:rsidRPr="007E346A">
        <w:rPr>
          <w:rStyle w:val="Strong"/>
          <w:rFonts w:ascii="Helvetica" w:eastAsiaTheme="majorEastAsia" w:hAnsi="Helvetica" w:cs="Arial"/>
          <w:sz w:val="32"/>
          <w:szCs w:val="32"/>
        </w:rPr>
        <w:t>Location:</w:t>
      </w:r>
      <w:r w:rsidRPr="007E346A">
        <w:rPr>
          <w:rFonts w:ascii="Helvetica" w:hAnsi="Helvetica" w:cs="Arial"/>
          <w:sz w:val="32"/>
          <w:szCs w:val="32"/>
        </w:rPr>
        <w:t xml:space="preserve"> Remote </w:t>
      </w:r>
      <w:r w:rsidRPr="007E346A">
        <w:rPr>
          <w:rFonts w:ascii="Helvetica" w:hAnsi="Helvetica" w:cs="Arial"/>
          <w:sz w:val="32"/>
          <w:szCs w:val="32"/>
        </w:rPr>
        <w:br/>
      </w:r>
      <w:r w:rsidRPr="007E346A">
        <w:rPr>
          <w:rStyle w:val="Strong"/>
          <w:rFonts w:ascii="Helvetica" w:eastAsiaTheme="majorEastAsia" w:hAnsi="Helvetica" w:cs="Arial"/>
          <w:sz w:val="32"/>
          <w:szCs w:val="32"/>
        </w:rPr>
        <w:t>Duration:</w:t>
      </w:r>
      <w:r w:rsidRPr="007E346A">
        <w:rPr>
          <w:rFonts w:ascii="Helvetica" w:hAnsi="Helvetica" w:cs="Arial"/>
          <w:sz w:val="32"/>
          <w:szCs w:val="32"/>
        </w:rPr>
        <w:t xml:space="preserve"> 3 months </w:t>
      </w:r>
      <w:r w:rsidR="00D00991" w:rsidRPr="007E346A">
        <w:rPr>
          <w:rFonts w:ascii="Helvetica" w:hAnsi="Helvetica" w:cs="Arial"/>
          <w:sz w:val="32"/>
          <w:szCs w:val="32"/>
        </w:rPr>
        <w:t>Full time</w:t>
      </w:r>
      <w:r w:rsidRPr="007E346A">
        <w:rPr>
          <w:rFonts w:ascii="Helvetica" w:hAnsi="Helvetica" w:cs="Arial"/>
          <w:sz w:val="32"/>
          <w:szCs w:val="32"/>
        </w:rPr>
        <w:t xml:space="preserve"> (</w:t>
      </w:r>
      <w:r w:rsidR="00D00991" w:rsidRPr="007E346A">
        <w:rPr>
          <w:rFonts w:ascii="Helvetica" w:hAnsi="Helvetica" w:cs="Arial"/>
          <w:sz w:val="32"/>
          <w:szCs w:val="32"/>
        </w:rPr>
        <w:t xml:space="preserve">Between </w:t>
      </w:r>
      <w:r w:rsidRPr="007E346A">
        <w:rPr>
          <w:rFonts w:ascii="Helvetica" w:hAnsi="Helvetica" w:cs="Arial"/>
          <w:sz w:val="32"/>
          <w:szCs w:val="32"/>
        </w:rPr>
        <w:t>February 2026 – June 2026)</w:t>
      </w:r>
    </w:p>
    <w:p w14:paraId="72D66EA1" w14:textId="0BEE6D5E" w:rsidR="00F43588" w:rsidRPr="007E346A" w:rsidRDefault="00AF0686">
      <w:pPr>
        <w:rPr>
          <w:rFonts w:ascii="Helvetica" w:hAnsi="Helvetica" w:cs="Arial"/>
          <w:sz w:val="32"/>
          <w:szCs w:val="32"/>
        </w:rPr>
      </w:pPr>
      <w:r w:rsidRPr="007E346A">
        <w:rPr>
          <w:rStyle w:val="Strong"/>
          <w:rFonts w:ascii="Helvetica" w:eastAsiaTheme="majorEastAsia" w:hAnsi="Helvetica" w:cs="Arial"/>
          <w:sz w:val="32"/>
          <w:szCs w:val="32"/>
        </w:rPr>
        <w:t>Start Date</w:t>
      </w:r>
      <w:r w:rsidRPr="007E346A">
        <w:rPr>
          <w:rStyle w:val="Strong"/>
          <w:rFonts w:ascii="Helvetica" w:eastAsiaTheme="majorEastAsia" w:hAnsi="Helvetica" w:cs="Arial"/>
          <w:sz w:val="32"/>
          <w:szCs w:val="32"/>
        </w:rPr>
        <w:t>:</w:t>
      </w:r>
      <w:r w:rsidRPr="007E346A">
        <w:rPr>
          <w:rFonts w:ascii="Helvetica" w:hAnsi="Helvetica" w:cs="Arial"/>
          <w:sz w:val="32"/>
          <w:szCs w:val="32"/>
        </w:rPr>
        <w:t xml:space="preserve"> </w:t>
      </w:r>
      <w:r w:rsidRPr="007E346A">
        <w:rPr>
          <w:rFonts w:ascii="Helvetica" w:hAnsi="Helvetica" w:cs="Arial"/>
          <w:sz w:val="32"/>
          <w:szCs w:val="32"/>
        </w:rPr>
        <w:t>To be agreed</w:t>
      </w:r>
      <w:r w:rsidR="00E90237" w:rsidRPr="007E346A">
        <w:rPr>
          <w:rFonts w:ascii="Helvetica" w:hAnsi="Helvetica" w:cs="Arial"/>
          <w:sz w:val="32"/>
          <w:szCs w:val="32"/>
        </w:rPr>
        <w:br/>
      </w:r>
      <w:r w:rsidR="00E90237" w:rsidRPr="007E346A">
        <w:rPr>
          <w:rStyle w:val="Strong"/>
          <w:rFonts w:ascii="Helvetica" w:eastAsiaTheme="majorEastAsia" w:hAnsi="Helvetica" w:cs="Arial"/>
          <w:sz w:val="32"/>
          <w:szCs w:val="32"/>
        </w:rPr>
        <w:t>Salary:</w:t>
      </w:r>
      <w:r w:rsidR="00E90237" w:rsidRPr="007E346A">
        <w:rPr>
          <w:rFonts w:ascii="Helvetica" w:hAnsi="Helvetica" w:cs="Arial"/>
          <w:sz w:val="32"/>
          <w:szCs w:val="32"/>
        </w:rPr>
        <w:t xml:space="preserve"> £12,000 (paid by University)</w:t>
      </w:r>
      <w:r w:rsidR="00E90237" w:rsidRPr="007E346A">
        <w:rPr>
          <w:rFonts w:ascii="Helvetica" w:hAnsi="Helvetica" w:cs="Arial"/>
          <w:sz w:val="32"/>
          <w:szCs w:val="32"/>
        </w:rPr>
        <w:br/>
      </w:r>
      <w:r w:rsidR="00E90237" w:rsidRPr="007E346A">
        <w:rPr>
          <w:rStyle w:val="Strong"/>
          <w:rFonts w:ascii="Helvetica" w:eastAsiaTheme="majorEastAsia" w:hAnsi="Helvetica" w:cs="Arial"/>
          <w:sz w:val="32"/>
          <w:szCs w:val="32"/>
        </w:rPr>
        <w:t>Reporting to:</w:t>
      </w:r>
      <w:r w:rsidR="00E90237" w:rsidRPr="007E346A">
        <w:rPr>
          <w:rFonts w:ascii="Helvetica" w:hAnsi="Helvetica" w:cs="Arial"/>
          <w:sz w:val="32"/>
          <w:szCs w:val="32"/>
        </w:rPr>
        <w:t xml:space="preserve"> </w:t>
      </w:r>
      <w:r w:rsidR="00DF736E">
        <w:rPr>
          <w:rFonts w:ascii="Helvetica" w:hAnsi="Helvetica" w:cs="Arial"/>
          <w:sz w:val="32"/>
          <w:szCs w:val="32"/>
        </w:rPr>
        <w:t xml:space="preserve">Dr Kim McCall and </w:t>
      </w:r>
      <w:r w:rsidR="00E90237" w:rsidRPr="007E346A">
        <w:rPr>
          <w:rFonts w:ascii="Helvetica" w:hAnsi="Helvetica" w:cs="Arial"/>
          <w:sz w:val="32"/>
          <w:szCs w:val="32"/>
        </w:rPr>
        <w:t>Dr Ania Couchinho</w:t>
      </w:r>
    </w:p>
    <w:p w14:paraId="239EA780" w14:textId="77777777" w:rsidR="00A16AC3" w:rsidRPr="007E346A" w:rsidRDefault="00A16AC3">
      <w:pPr>
        <w:rPr>
          <w:rFonts w:ascii="Helvetica" w:hAnsi="Helvetica" w:cs="Arial"/>
          <w:sz w:val="32"/>
          <w:szCs w:val="32"/>
        </w:rPr>
      </w:pPr>
    </w:p>
    <w:p w14:paraId="451B20C4" w14:textId="742F6EB3" w:rsidR="00A16AC3" w:rsidRPr="007E346A" w:rsidRDefault="00A16AC3" w:rsidP="00A16AC3">
      <w:pPr>
        <w:spacing w:before="100" w:beforeAutospacing="1" w:after="100" w:afterAutospacing="1" w:line="240" w:lineRule="auto"/>
        <w:outlineLvl w:val="2"/>
        <w:rPr>
          <w:rFonts w:ascii="Helvetica" w:hAnsi="Helvetica" w:cs="Arial"/>
          <w:b/>
          <w:bCs/>
          <w:sz w:val="32"/>
          <w:szCs w:val="32"/>
          <w:u w:val="single"/>
        </w:rPr>
      </w:pPr>
      <w:r w:rsidRPr="007E346A">
        <w:rPr>
          <w:rFonts w:ascii="Helvetica" w:hAnsi="Helvetica" w:cs="Arial"/>
          <w:b/>
          <w:bCs/>
          <w:sz w:val="32"/>
          <w:szCs w:val="32"/>
          <w:u w:val="single"/>
        </w:rPr>
        <w:t>About Forward Trust</w:t>
      </w:r>
    </w:p>
    <w:p w14:paraId="3CC4E87A" w14:textId="3F50A57A" w:rsidR="00A16AC3" w:rsidRPr="00A16AC3" w:rsidRDefault="00A16AC3" w:rsidP="00A16AC3">
      <w:pPr>
        <w:spacing w:before="100" w:beforeAutospacing="1" w:after="100" w:afterAutospacing="1" w:line="240" w:lineRule="auto"/>
        <w:rPr>
          <w:rFonts w:cs="Arial"/>
        </w:rPr>
      </w:pPr>
      <w:r w:rsidRPr="00A16AC3">
        <w:rPr>
          <w:rFonts w:cs="Arial"/>
        </w:rPr>
        <w:t>Forward Trust is a UK-based organisation providing specialist drug and alcohol treatment services. Our Theory of Change (TOC) provides a framework for understanding how individuals progress through treatment and recovery, from initial engagement to sustained, independent recovery. The TOC identifies four stages of recover</w:t>
      </w:r>
      <w:r w:rsidR="00AA0818" w:rsidRPr="00AD0716">
        <w:rPr>
          <w:rFonts w:cs="Arial"/>
        </w:rPr>
        <w:t xml:space="preserve">, </w:t>
      </w:r>
      <w:r w:rsidRPr="00A16AC3">
        <w:rPr>
          <w:rFonts w:cs="Arial"/>
        </w:rPr>
        <w:t>Pause, Engage, Develop, Prosper</w:t>
      </w:r>
      <w:r w:rsidR="00AA0818" w:rsidRPr="00AD0716">
        <w:rPr>
          <w:rFonts w:cs="Arial"/>
        </w:rPr>
        <w:t xml:space="preserve">, </w:t>
      </w:r>
      <w:r w:rsidRPr="00A16AC3">
        <w:rPr>
          <w:rFonts w:cs="Arial"/>
        </w:rPr>
        <w:t>and captures the interventions and support provided at each stage.</w:t>
      </w:r>
    </w:p>
    <w:p w14:paraId="437E4AFD" w14:textId="62412112" w:rsidR="00A16AC3" w:rsidRPr="00A16AC3" w:rsidRDefault="00A16AC3" w:rsidP="00896318">
      <w:pPr>
        <w:spacing w:before="100" w:beforeAutospacing="1" w:after="100" w:afterAutospacing="1" w:line="240" w:lineRule="auto"/>
        <w:rPr>
          <w:rFonts w:cs="Arial"/>
        </w:rPr>
      </w:pPr>
      <w:r w:rsidRPr="00A16AC3">
        <w:rPr>
          <w:rFonts w:cs="Arial"/>
        </w:rPr>
        <w:t>Forward Trust is seeking a Consultant to carry out a detailed analysis of TOC data to improve reliability, provide insights for stakeholders, and support ongoing development of our services.</w:t>
      </w:r>
    </w:p>
    <w:p w14:paraId="5F0F9A95" w14:textId="77777777" w:rsidR="00A16AC3" w:rsidRPr="007E346A" w:rsidRDefault="00A16AC3" w:rsidP="00A16AC3">
      <w:pPr>
        <w:spacing w:before="100" w:beforeAutospacing="1" w:after="100" w:afterAutospacing="1" w:line="240" w:lineRule="auto"/>
        <w:outlineLvl w:val="2"/>
        <w:rPr>
          <w:rFonts w:ascii="Helvetica" w:hAnsi="Helvetica" w:cs="Arial"/>
          <w:b/>
          <w:bCs/>
          <w:sz w:val="32"/>
          <w:szCs w:val="32"/>
          <w:u w:val="single"/>
        </w:rPr>
      </w:pPr>
      <w:r w:rsidRPr="007E346A">
        <w:rPr>
          <w:rFonts w:ascii="Helvetica" w:hAnsi="Helvetica" w:cs="Arial"/>
          <w:b/>
          <w:bCs/>
          <w:sz w:val="32"/>
          <w:szCs w:val="32"/>
          <w:u w:val="single"/>
        </w:rPr>
        <w:t>Role Purpose</w:t>
      </w:r>
    </w:p>
    <w:p w14:paraId="74AA3BB0" w14:textId="77777777" w:rsidR="00A16AC3" w:rsidRPr="00A16AC3" w:rsidRDefault="00A16AC3" w:rsidP="00A16AC3">
      <w:pPr>
        <w:spacing w:before="100" w:beforeAutospacing="1" w:after="100" w:afterAutospacing="1" w:line="240" w:lineRule="auto"/>
        <w:rPr>
          <w:rFonts w:cs="Arial"/>
        </w:rPr>
      </w:pPr>
      <w:r w:rsidRPr="00A16AC3">
        <w:rPr>
          <w:rFonts w:cs="Arial"/>
        </w:rPr>
        <w:t>The TOC Data Segmentation Analysis Consultant will:</w:t>
      </w:r>
    </w:p>
    <w:p w14:paraId="41C0CEEA" w14:textId="77777777" w:rsidR="00A16AC3" w:rsidRPr="00A16AC3" w:rsidRDefault="00A16AC3" w:rsidP="00A16AC3">
      <w:pPr>
        <w:numPr>
          <w:ilvl w:val="0"/>
          <w:numId w:val="39"/>
        </w:numPr>
        <w:spacing w:before="100" w:beforeAutospacing="1" w:after="100" w:afterAutospacing="1" w:line="240" w:lineRule="auto"/>
        <w:rPr>
          <w:rFonts w:cs="Arial"/>
        </w:rPr>
      </w:pPr>
      <w:r w:rsidRPr="00A16AC3">
        <w:rPr>
          <w:rFonts w:cs="Arial"/>
        </w:rPr>
        <w:t>Assess and improve the reliability of TOC status data collected by keyworkers and through automated processes.</w:t>
      </w:r>
    </w:p>
    <w:p w14:paraId="1CCECA24" w14:textId="77777777" w:rsidR="00A16AC3" w:rsidRPr="00A16AC3" w:rsidRDefault="00A16AC3" w:rsidP="00A16AC3">
      <w:pPr>
        <w:numPr>
          <w:ilvl w:val="0"/>
          <w:numId w:val="39"/>
        </w:numPr>
        <w:spacing w:before="100" w:beforeAutospacing="1" w:after="100" w:afterAutospacing="1" w:line="240" w:lineRule="auto"/>
        <w:rPr>
          <w:rFonts w:cs="Arial"/>
        </w:rPr>
      </w:pPr>
      <w:r w:rsidRPr="00A16AC3">
        <w:rPr>
          <w:rFonts w:cs="Arial"/>
        </w:rPr>
        <w:t>Conduct discrete analyses of people engaged with Forward’s integrated community services, including demographic and substance-use data, and compare TOC outcomes with NDTMS measures (treatment completion and substantial progress).</w:t>
      </w:r>
    </w:p>
    <w:p w14:paraId="442D8678" w14:textId="77777777" w:rsidR="00A16AC3" w:rsidRPr="00A16AC3" w:rsidRDefault="00A16AC3" w:rsidP="00A16AC3">
      <w:pPr>
        <w:numPr>
          <w:ilvl w:val="0"/>
          <w:numId w:val="39"/>
        </w:numPr>
        <w:spacing w:before="100" w:beforeAutospacing="1" w:after="100" w:afterAutospacing="1" w:line="240" w:lineRule="auto"/>
        <w:rPr>
          <w:rFonts w:cs="Arial"/>
        </w:rPr>
      </w:pPr>
      <w:r w:rsidRPr="00A16AC3">
        <w:rPr>
          <w:rFonts w:cs="Arial"/>
        </w:rPr>
        <w:t>Produce clear, accessible outputs (including graphics and reports) for multiple stakeholders including the Board of Trustees, funders, and service staff.</w:t>
      </w:r>
    </w:p>
    <w:p w14:paraId="24B260FC" w14:textId="08CAE68F" w:rsidR="00A16AC3" w:rsidRPr="00C86F00" w:rsidRDefault="00A16AC3" w:rsidP="00A16AC3">
      <w:pPr>
        <w:numPr>
          <w:ilvl w:val="0"/>
          <w:numId w:val="39"/>
        </w:numPr>
        <w:spacing w:before="100" w:beforeAutospacing="1" w:after="100" w:afterAutospacing="1" w:line="240" w:lineRule="auto"/>
        <w:rPr>
          <w:rFonts w:cs="Arial"/>
        </w:rPr>
      </w:pPr>
      <w:r w:rsidRPr="00A16AC3">
        <w:rPr>
          <w:rFonts w:cs="Arial"/>
        </w:rPr>
        <w:t>Provide recommendations for improvements in TOC data collection, analysis, and presentation.</w:t>
      </w:r>
    </w:p>
    <w:p w14:paraId="6A3F609C" w14:textId="77777777" w:rsidR="00A16AC3" w:rsidRPr="007E346A" w:rsidRDefault="00A16AC3" w:rsidP="00A16AC3">
      <w:pPr>
        <w:spacing w:before="100" w:beforeAutospacing="1" w:after="100" w:afterAutospacing="1" w:line="240" w:lineRule="auto"/>
        <w:outlineLvl w:val="2"/>
        <w:rPr>
          <w:rFonts w:ascii="Helvetica" w:hAnsi="Helvetica" w:cs="Arial"/>
          <w:b/>
          <w:bCs/>
          <w:sz w:val="32"/>
          <w:szCs w:val="32"/>
          <w:u w:val="single"/>
        </w:rPr>
      </w:pPr>
      <w:r w:rsidRPr="007E346A">
        <w:rPr>
          <w:rFonts w:ascii="Helvetica" w:hAnsi="Helvetica" w:cs="Arial"/>
          <w:b/>
          <w:bCs/>
          <w:sz w:val="32"/>
          <w:szCs w:val="32"/>
          <w:u w:val="single"/>
        </w:rPr>
        <w:lastRenderedPageBreak/>
        <w:t>Key Responsibilities</w:t>
      </w:r>
    </w:p>
    <w:p w14:paraId="1C6A424D" w14:textId="77777777" w:rsidR="00A16AC3" w:rsidRPr="00A16AC3" w:rsidRDefault="00A16AC3" w:rsidP="007E346A">
      <w:pPr>
        <w:spacing w:before="100" w:beforeAutospacing="1" w:after="100" w:afterAutospacing="1" w:line="240" w:lineRule="auto"/>
        <w:rPr>
          <w:rFonts w:cs="Arial"/>
        </w:rPr>
      </w:pPr>
      <w:r w:rsidRPr="00A16AC3">
        <w:rPr>
          <w:rFonts w:cs="Arial"/>
          <w:b/>
          <w:bCs/>
        </w:rPr>
        <w:t>Data Reliability and Audit</w:t>
      </w:r>
    </w:p>
    <w:p w14:paraId="337E4097" w14:textId="77777777" w:rsidR="00A16AC3" w:rsidRPr="00A16AC3" w:rsidRDefault="00A16AC3" w:rsidP="007E346A">
      <w:pPr>
        <w:numPr>
          <w:ilvl w:val="0"/>
          <w:numId w:val="57"/>
        </w:numPr>
        <w:spacing w:before="100" w:beforeAutospacing="1" w:after="100" w:afterAutospacing="1" w:line="240" w:lineRule="auto"/>
        <w:rPr>
          <w:rFonts w:cs="Arial"/>
        </w:rPr>
      </w:pPr>
      <w:r w:rsidRPr="00A16AC3">
        <w:rPr>
          <w:rFonts w:cs="Arial"/>
        </w:rPr>
        <w:t>Conduct initial audits comparing keyworker-recorded TOC status with automated calculations across all substance pathways and TOC stages.</w:t>
      </w:r>
    </w:p>
    <w:p w14:paraId="0D80B8AD" w14:textId="77777777" w:rsidR="00A16AC3" w:rsidRPr="00A16AC3" w:rsidRDefault="00A16AC3" w:rsidP="007E346A">
      <w:pPr>
        <w:numPr>
          <w:ilvl w:val="0"/>
          <w:numId w:val="57"/>
        </w:numPr>
        <w:spacing w:before="100" w:beforeAutospacing="1" w:after="100" w:afterAutospacing="1" w:line="240" w:lineRule="auto"/>
        <w:rPr>
          <w:rFonts w:cs="Arial"/>
        </w:rPr>
      </w:pPr>
      <w:r w:rsidRPr="00A16AC3">
        <w:rPr>
          <w:rFonts w:cs="Arial"/>
        </w:rPr>
        <w:t>Summarise case notes and treatment/intervention data to validate TOC status assignment.</w:t>
      </w:r>
    </w:p>
    <w:p w14:paraId="1E3973D5" w14:textId="77777777" w:rsidR="00A16AC3" w:rsidRPr="00A16AC3" w:rsidRDefault="00A16AC3" w:rsidP="007E346A">
      <w:pPr>
        <w:numPr>
          <w:ilvl w:val="0"/>
          <w:numId w:val="57"/>
        </w:numPr>
        <w:spacing w:before="100" w:beforeAutospacing="1" w:after="100" w:afterAutospacing="1" w:line="240" w:lineRule="auto"/>
        <w:rPr>
          <w:rFonts w:cs="Arial"/>
        </w:rPr>
      </w:pPr>
      <w:r w:rsidRPr="00A16AC3">
        <w:rPr>
          <w:rFonts w:cs="Arial"/>
        </w:rPr>
        <w:t>Recommend approaches to improve data reliability and consistency.</w:t>
      </w:r>
    </w:p>
    <w:p w14:paraId="1D1D6196" w14:textId="77777777" w:rsidR="00A16AC3" w:rsidRPr="00A16AC3" w:rsidRDefault="00A16AC3" w:rsidP="007E346A">
      <w:pPr>
        <w:spacing w:before="100" w:beforeAutospacing="1" w:after="100" w:afterAutospacing="1" w:line="240" w:lineRule="auto"/>
        <w:rPr>
          <w:rFonts w:cs="Arial"/>
        </w:rPr>
      </w:pPr>
      <w:r w:rsidRPr="00A16AC3">
        <w:rPr>
          <w:rFonts w:cs="Arial"/>
          <w:b/>
          <w:bCs/>
        </w:rPr>
        <w:t>Data Analysis and Reporting</w:t>
      </w:r>
    </w:p>
    <w:p w14:paraId="0B357B9B" w14:textId="77777777" w:rsidR="00A16AC3" w:rsidRPr="00A16AC3" w:rsidRDefault="00A16AC3" w:rsidP="007E346A">
      <w:pPr>
        <w:numPr>
          <w:ilvl w:val="0"/>
          <w:numId w:val="59"/>
        </w:numPr>
        <w:spacing w:before="100" w:beforeAutospacing="1" w:after="100" w:afterAutospacing="1" w:line="240" w:lineRule="auto"/>
        <w:rPr>
          <w:rFonts w:cs="Arial"/>
        </w:rPr>
      </w:pPr>
      <w:r w:rsidRPr="00A16AC3">
        <w:rPr>
          <w:rFonts w:cs="Arial"/>
        </w:rPr>
        <w:t>Compare TOC data with NDTMS treatment outcome measures.</w:t>
      </w:r>
    </w:p>
    <w:p w14:paraId="1DD3A10F" w14:textId="77777777" w:rsidR="00A16AC3" w:rsidRPr="00A16AC3" w:rsidRDefault="00A16AC3" w:rsidP="007E346A">
      <w:pPr>
        <w:numPr>
          <w:ilvl w:val="0"/>
          <w:numId w:val="59"/>
        </w:numPr>
        <w:spacing w:before="100" w:beforeAutospacing="1" w:after="100" w:afterAutospacing="1" w:line="240" w:lineRule="auto"/>
        <w:rPr>
          <w:rFonts w:cs="Arial"/>
        </w:rPr>
      </w:pPr>
      <w:r w:rsidRPr="00A16AC3">
        <w:rPr>
          <w:rFonts w:cs="Arial"/>
        </w:rPr>
        <w:t>Perform discrete analyses using TOC data, including demographic, substance-use, and treatment characteristics.</w:t>
      </w:r>
    </w:p>
    <w:p w14:paraId="1ED12216" w14:textId="140DBC05" w:rsidR="00052E6D" w:rsidRPr="00052E6D" w:rsidRDefault="00A16AC3" w:rsidP="007E346A">
      <w:pPr>
        <w:numPr>
          <w:ilvl w:val="0"/>
          <w:numId w:val="59"/>
        </w:numPr>
        <w:spacing w:before="100" w:beforeAutospacing="1" w:after="100" w:afterAutospacing="1" w:line="240" w:lineRule="auto"/>
        <w:rPr>
          <w:rFonts w:cs="Arial"/>
        </w:rPr>
      </w:pPr>
      <w:r w:rsidRPr="00A16AC3">
        <w:rPr>
          <w:rFonts w:cs="Arial"/>
        </w:rPr>
        <w:t>Develop insights and commentary on strengths, limitations, and patterns in the data.</w:t>
      </w:r>
    </w:p>
    <w:p w14:paraId="705F9F75" w14:textId="77777777" w:rsidR="00A16AC3" w:rsidRPr="00A16AC3" w:rsidRDefault="00A16AC3" w:rsidP="007E346A">
      <w:pPr>
        <w:spacing w:before="100" w:beforeAutospacing="1" w:after="100" w:afterAutospacing="1" w:line="240" w:lineRule="auto"/>
        <w:rPr>
          <w:rFonts w:cs="Arial"/>
        </w:rPr>
      </w:pPr>
      <w:r w:rsidRPr="00A16AC3">
        <w:rPr>
          <w:rFonts w:cs="Arial"/>
          <w:b/>
          <w:bCs/>
        </w:rPr>
        <w:t>Communication and Stakeholder Reporting</w:t>
      </w:r>
    </w:p>
    <w:p w14:paraId="1F752F16" w14:textId="77777777" w:rsidR="00A16AC3" w:rsidRPr="00A16AC3" w:rsidRDefault="00A16AC3" w:rsidP="007E346A">
      <w:pPr>
        <w:numPr>
          <w:ilvl w:val="0"/>
          <w:numId w:val="60"/>
        </w:numPr>
        <w:spacing w:before="100" w:beforeAutospacing="1" w:after="100" w:afterAutospacing="1" w:line="240" w:lineRule="auto"/>
        <w:rPr>
          <w:rFonts w:cs="Arial"/>
        </w:rPr>
      </w:pPr>
      <w:r w:rsidRPr="00A16AC3">
        <w:rPr>
          <w:rFonts w:cs="Arial"/>
        </w:rPr>
        <w:t>Produce accessible reports, visualisations, and dashboards suitable for:</w:t>
      </w:r>
    </w:p>
    <w:p w14:paraId="6D9C21E7" w14:textId="77777777" w:rsidR="00A16AC3" w:rsidRPr="00A16AC3" w:rsidRDefault="00A16AC3" w:rsidP="007E346A">
      <w:pPr>
        <w:numPr>
          <w:ilvl w:val="1"/>
          <w:numId w:val="60"/>
        </w:numPr>
        <w:spacing w:before="100" w:beforeAutospacing="1" w:after="100" w:afterAutospacing="1" w:line="240" w:lineRule="auto"/>
        <w:rPr>
          <w:rFonts w:cs="Arial"/>
        </w:rPr>
      </w:pPr>
      <w:r w:rsidRPr="00A16AC3">
        <w:rPr>
          <w:rFonts w:cs="Arial"/>
        </w:rPr>
        <w:t>Forward Trust Board of Trustees</w:t>
      </w:r>
    </w:p>
    <w:p w14:paraId="19CD7CA1" w14:textId="77777777" w:rsidR="00A16AC3" w:rsidRPr="00A16AC3" w:rsidRDefault="00A16AC3" w:rsidP="007E346A">
      <w:pPr>
        <w:numPr>
          <w:ilvl w:val="1"/>
          <w:numId w:val="60"/>
        </w:numPr>
        <w:spacing w:before="100" w:beforeAutospacing="1" w:after="100" w:afterAutospacing="1" w:line="240" w:lineRule="auto"/>
        <w:rPr>
          <w:rFonts w:cs="Arial"/>
        </w:rPr>
      </w:pPr>
      <w:r w:rsidRPr="00A16AC3">
        <w:rPr>
          <w:rFonts w:cs="Arial"/>
        </w:rPr>
        <w:t>Funders and commissioners</w:t>
      </w:r>
    </w:p>
    <w:p w14:paraId="7B32DA91" w14:textId="77777777" w:rsidR="00A16AC3" w:rsidRPr="00A16AC3" w:rsidRDefault="00A16AC3" w:rsidP="007E346A">
      <w:pPr>
        <w:numPr>
          <w:ilvl w:val="1"/>
          <w:numId w:val="60"/>
        </w:numPr>
        <w:spacing w:before="100" w:beforeAutospacing="1" w:after="100" w:afterAutospacing="1" w:line="240" w:lineRule="auto"/>
        <w:rPr>
          <w:rFonts w:cs="Arial"/>
        </w:rPr>
      </w:pPr>
      <w:r w:rsidRPr="00A16AC3">
        <w:rPr>
          <w:rFonts w:cs="Arial"/>
        </w:rPr>
        <w:t>Service staff and teams</w:t>
      </w:r>
    </w:p>
    <w:p w14:paraId="68F7E1B6" w14:textId="77777777" w:rsidR="00A16AC3" w:rsidRPr="00A16AC3" w:rsidRDefault="00A16AC3" w:rsidP="007E346A">
      <w:pPr>
        <w:numPr>
          <w:ilvl w:val="0"/>
          <w:numId w:val="60"/>
        </w:numPr>
        <w:spacing w:before="100" w:beforeAutospacing="1" w:after="100" w:afterAutospacing="1" w:line="240" w:lineRule="auto"/>
        <w:rPr>
          <w:rFonts w:cs="Arial"/>
        </w:rPr>
      </w:pPr>
      <w:r w:rsidRPr="00A16AC3">
        <w:rPr>
          <w:rFonts w:cs="Arial"/>
        </w:rPr>
        <w:t>Ensure reporting formats are replicable and updateable for future use.</w:t>
      </w:r>
    </w:p>
    <w:p w14:paraId="089AF8AF" w14:textId="77777777" w:rsidR="00A16AC3" w:rsidRPr="00A16AC3" w:rsidRDefault="00A16AC3" w:rsidP="007E346A">
      <w:pPr>
        <w:spacing w:before="100" w:beforeAutospacing="1" w:after="100" w:afterAutospacing="1" w:line="240" w:lineRule="auto"/>
        <w:rPr>
          <w:rFonts w:cs="Arial"/>
        </w:rPr>
      </w:pPr>
      <w:r w:rsidRPr="00A16AC3">
        <w:rPr>
          <w:rFonts w:cs="Arial"/>
          <w:b/>
          <w:bCs/>
        </w:rPr>
        <w:t>Recommendations and Future Development</w:t>
      </w:r>
    </w:p>
    <w:p w14:paraId="3C4304D3" w14:textId="77777777" w:rsidR="00A16AC3" w:rsidRPr="00A16AC3" w:rsidRDefault="00A16AC3" w:rsidP="007E346A">
      <w:pPr>
        <w:numPr>
          <w:ilvl w:val="0"/>
          <w:numId w:val="61"/>
        </w:numPr>
        <w:spacing w:before="100" w:beforeAutospacing="1" w:after="100" w:afterAutospacing="1" w:line="240" w:lineRule="auto"/>
        <w:rPr>
          <w:rFonts w:cs="Arial"/>
        </w:rPr>
      </w:pPr>
      <w:r w:rsidRPr="00A16AC3">
        <w:rPr>
          <w:rFonts w:cs="Arial"/>
        </w:rPr>
        <w:t>Provide actionable recommendations to improve TOC data collection, analysis, and communication.</w:t>
      </w:r>
    </w:p>
    <w:p w14:paraId="5C0DDF68" w14:textId="42A63B98" w:rsidR="00A16AC3" w:rsidRDefault="00A16AC3" w:rsidP="007E346A">
      <w:pPr>
        <w:numPr>
          <w:ilvl w:val="0"/>
          <w:numId w:val="61"/>
        </w:numPr>
        <w:spacing w:before="100" w:beforeAutospacing="1" w:after="100" w:afterAutospacing="1" w:line="240" w:lineRule="auto"/>
        <w:rPr>
          <w:rFonts w:cs="Arial"/>
        </w:rPr>
      </w:pPr>
      <w:r w:rsidRPr="00A16AC3">
        <w:rPr>
          <w:rFonts w:cs="Arial"/>
        </w:rPr>
        <w:t>Support Forward Trust in planning the implementation of recommendations.</w:t>
      </w:r>
    </w:p>
    <w:p w14:paraId="2EF15E87" w14:textId="77777777" w:rsidR="00A2255B" w:rsidRDefault="00A2255B" w:rsidP="00A2255B">
      <w:pPr>
        <w:spacing w:before="100" w:beforeAutospacing="1" w:after="100" w:afterAutospacing="1" w:line="240" w:lineRule="auto"/>
        <w:rPr>
          <w:rFonts w:cs="Arial"/>
        </w:rPr>
      </w:pPr>
    </w:p>
    <w:p w14:paraId="487C408D" w14:textId="77777777" w:rsidR="0046466A" w:rsidRPr="007E346A" w:rsidRDefault="0046466A" w:rsidP="00744569">
      <w:pPr>
        <w:spacing w:before="100" w:beforeAutospacing="1" w:after="100" w:afterAutospacing="1" w:line="240" w:lineRule="auto"/>
        <w:rPr>
          <w:rFonts w:ascii="Helvetica" w:hAnsi="Helvetica" w:cs="Arial"/>
          <w:b/>
          <w:bCs/>
          <w:sz w:val="32"/>
          <w:szCs w:val="32"/>
          <w:u w:val="single"/>
        </w:rPr>
      </w:pPr>
      <w:r w:rsidRPr="007E346A">
        <w:rPr>
          <w:rFonts w:ascii="Helvetica" w:hAnsi="Helvetica" w:cs="Arial"/>
          <w:b/>
          <w:bCs/>
          <w:sz w:val="32"/>
          <w:szCs w:val="32"/>
          <w:u w:val="single"/>
        </w:rPr>
        <w:t>Terms of Reference – Segmentation Incubator Consultant</w:t>
      </w:r>
    </w:p>
    <w:p w14:paraId="61C53178" w14:textId="1549FFD2" w:rsidR="0046466A" w:rsidRPr="007E346A" w:rsidRDefault="0046466A" w:rsidP="0046466A">
      <w:pPr>
        <w:spacing w:before="100" w:beforeAutospacing="1" w:after="100" w:afterAutospacing="1" w:line="240" w:lineRule="auto"/>
        <w:rPr>
          <w:rFonts w:cs="Arial"/>
          <w:b/>
          <w:bCs/>
          <w:sz w:val="32"/>
          <w:szCs w:val="32"/>
        </w:rPr>
      </w:pPr>
      <w:r w:rsidRPr="007E346A">
        <w:rPr>
          <w:rFonts w:cs="Arial"/>
          <w:b/>
          <w:bCs/>
          <w:sz w:val="32"/>
          <w:szCs w:val="32"/>
        </w:rPr>
        <w:t>Purpose of the consultancy</w:t>
      </w:r>
    </w:p>
    <w:p w14:paraId="6507B709" w14:textId="52E7CB2B" w:rsidR="0046466A" w:rsidRPr="0046466A" w:rsidRDefault="0046466A" w:rsidP="0046466A">
      <w:pPr>
        <w:spacing w:before="100" w:beforeAutospacing="1" w:after="100" w:afterAutospacing="1" w:line="240" w:lineRule="auto"/>
        <w:rPr>
          <w:rFonts w:cs="Arial"/>
        </w:rPr>
      </w:pPr>
      <w:r w:rsidRPr="0046466A">
        <w:rPr>
          <w:rFonts w:cs="Arial"/>
        </w:rPr>
        <w:t>The purpose of this consultancy is to assess the reliability, consistency and analytical value of T</w:t>
      </w:r>
      <w:r w:rsidR="00553E94">
        <w:rPr>
          <w:rFonts w:cs="Arial"/>
        </w:rPr>
        <w:t>heory of Change</w:t>
      </w:r>
      <w:r w:rsidRPr="0046466A">
        <w:rPr>
          <w:rFonts w:cs="Arial"/>
        </w:rPr>
        <w:t xml:space="preserve"> (TOC) data, and to explore how TOC data can be used alongside NDTMS outcomes data to generate meaningful insight for service improvement, accountability and reporting.</w:t>
      </w:r>
    </w:p>
    <w:p w14:paraId="7D0302E8" w14:textId="016B3CA7" w:rsidR="00AF0686" w:rsidRDefault="0046466A" w:rsidP="0046466A">
      <w:pPr>
        <w:spacing w:before="100" w:beforeAutospacing="1" w:after="100" w:afterAutospacing="1" w:line="240" w:lineRule="auto"/>
        <w:rPr>
          <w:rFonts w:cs="Arial"/>
        </w:rPr>
      </w:pPr>
      <w:r w:rsidRPr="0046466A">
        <w:rPr>
          <w:rFonts w:cs="Arial"/>
        </w:rPr>
        <w:t>The consultancy will support evidence-based recommendations for improving TOC implementation and use across services.</w:t>
      </w:r>
    </w:p>
    <w:p w14:paraId="7E476EA2" w14:textId="775E7031" w:rsidR="0046466A" w:rsidRPr="007E346A" w:rsidRDefault="0046466A" w:rsidP="0046466A">
      <w:pPr>
        <w:spacing w:before="100" w:beforeAutospacing="1" w:after="100" w:afterAutospacing="1" w:line="240" w:lineRule="auto"/>
        <w:rPr>
          <w:rFonts w:cs="Arial"/>
          <w:b/>
          <w:bCs/>
          <w:sz w:val="32"/>
          <w:szCs w:val="32"/>
        </w:rPr>
      </w:pPr>
      <w:r w:rsidRPr="007E346A">
        <w:rPr>
          <w:rFonts w:cs="Arial"/>
          <w:b/>
          <w:bCs/>
          <w:sz w:val="32"/>
          <w:szCs w:val="32"/>
        </w:rPr>
        <w:t>Scope of work and key outputs</w:t>
      </w:r>
    </w:p>
    <w:p w14:paraId="156C339E" w14:textId="77777777" w:rsidR="0046466A" w:rsidRPr="007E346A" w:rsidRDefault="0046466A" w:rsidP="00297DD0">
      <w:pPr>
        <w:spacing w:before="100" w:beforeAutospacing="1" w:after="100" w:afterAutospacing="1" w:line="240" w:lineRule="auto"/>
        <w:jc w:val="center"/>
        <w:rPr>
          <w:rFonts w:cs="Arial"/>
          <w:b/>
          <w:bCs/>
          <w:i/>
          <w:iCs/>
        </w:rPr>
      </w:pPr>
      <w:r w:rsidRPr="007E346A">
        <w:rPr>
          <w:rFonts w:cs="Arial"/>
          <w:b/>
          <w:bCs/>
          <w:i/>
          <w:iCs/>
        </w:rPr>
        <w:lastRenderedPageBreak/>
        <w:t>Month 1 (Weeks 1–4): Initial audit and reliability testing</w:t>
      </w:r>
    </w:p>
    <w:p w14:paraId="7304E420" w14:textId="77777777" w:rsidR="0046466A" w:rsidRPr="0046466A" w:rsidRDefault="0046466A" w:rsidP="0046466A">
      <w:pPr>
        <w:spacing w:before="100" w:beforeAutospacing="1" w:after="100" w:afterAutospacing="1" w:line="240" w:lineRule="auto"/>
        <w:rPr>
          <w:rFonts w:cs="Arial"/>
        </w:rPr>
      </w:pPr>
      <w:r w:rsidRPr="0046466A">
        <w:rPr>
          <w:rFonts w:cs="Arial"/>
          <w:b/>
          <w:bCs/>
        </w:rPr>
        <w:t>Output 1: Initial TOC audit</w:t>
      </w:r>
    </w:p>
    <w:p w14:paraId="1DB09484" w14:textId="77777777" w:rsidR="0046466A" w:rsidRPr="0046466A" w:rsidRDefault="0046466A" w:rsidP="00297DD0">
      <w:pPr>
        <w:numPr>
          <w:ilvl w:val="0"/>
          <w:numId w:val="62"/>
        </w:numPr>
        <w:spacing w:before="100" w:beforeAutospacing="1" w:after="100" w:afterAutospacing="1" w:line="240" w:lineRule="auto"/>
        <w:rPr>
          <w:rFonts w:cs="Arial"/>
        </w:rPr>
      </w:pPr>
      <w:r w:rsidRPr="0046466A">
        <w:rPr>
          <w:rFonts w:cs="Arial"/>
        </w:rPr>
        <w:t>Review a randomly selected sample of client records across opiate, alcohol and non-opiate pathways and TOC statuses (PAUSE, ENGAGE, DEVELOP, PROSPER).</w:t>
      </w:r>
    </w:p>
    <w:p w14:paraId="1A3E4D38" w14:textId="77777777" w:rsidR="0046466A" w:rsidRPr="0046466A" w:rsidRDefault="0046466A" w:rsidP="00297DD0">
      <w:pPr>
        <w:numPr>
          <w:ilvl w:val="0"/>
          <w:numId w:val="62"/>
        </w:numPr>
        <w:spacing w:before="100" w:beforeAutospacing="1" w:after="100" w:afterAutospacing="1" w:line="240" w:lineRule="auto"/>
        <w:rPr>
          <w:rFonts w:cs="Arial"/>
        </w:rPr>
      </w:pPr>
      <w:r w:rsidRPr="0046466A">
        <w:rPr>
          <w:rFonts w:cs="Arial"/>
        </w:rPr>
        <w:t>For each record, assess:</w:t>
      </w:r>
    </w:p>
    <w:p w14:paraId="632518D6" w14:textId="77777777" w:rsidR="0046466A" w:rsidRPr="0046466A" w:rsidRDefault="0046466A" w:rsidP="00297DD0">
      <w:pPr>
        <w:numPr>
          <w:ilvl w:val="1"/>
          <w:numId w:val="62"/>
        </w:numPr>
        <w:spacing w:before="100" w:beforeAutospacing="1" w:after="100" w:afterAutospacing="1" w:line="240" w:lineRule="auto"/>
        <w:rPr>
          <w:rFonts w:cs="Arial"/>
        </w:rPr>
      </w:pPr>
      <w:r w:rsidRPr="0046466A">
        <w:rPr>
          <w:rFonts w:cs="Arial"/>
        </w:rPr>
        <w:t>Keyworker-recorded TOC status</w:t>
      </w:r>
    </w:p>
    <w:p w14:paraId="2136AC20" w14:textId="77777777" w:rsidR="0046466A" w:rsidRPr="0046466A" w:rsidRDefault="0046466A" w:rsidP="00297DD0">
      <w:pPr>
        <w:numPr>
          <w:ilvl w:val="1"/>
          <w:numId w:val="62"/>
        </w:numPr>
        <w:spacing w:before="100" w:beforeAutospacing="1" w:after="100" w:afterAutospacing="1" w:line="240" w:lineRule="auto"/>
        <w:rPr>
          <w:rFonts w:cs="Arial"/>
        </w:rPr>
      </w:pPr>
      <w:r w:rsidRPr="0046466A">
        <w:rPr>
          <w:rFonts w:cs="Arial"/>
        </w:rPr>
        <w:t>Automated TOC status</w:t>
      </w:r>
    </w:p>
    <w:p w14:paraId="49760E0F" w14:textId="77777777" w:rsidR="0046466A" w:rsidRPr="0046466A" w:rsidRDefault="0046466A" w:rsidP="00297DD0">
      <w:pPr>
        <w:numPr>
          <w:ilvl w:val="1"/>
          <w:numId w:val="62"/>
        </w:numPr>
        <w:spacing w:before="100" w:beforeAutospacing="1" w:after="100" w:afterAutospacing="1" w:line="240" w:lineRule="auto"/>
        <w:rPr>
          <w:rFonts w:cs="Arial"/>
        </w:rPr>
      </w:pPr>
      <w:r w:rsidRPr="0046466A">
        <w:rPr>
          <w:rFonts w:cs="Arial"/>
        </w:rPr>
        <w:t>Case notes from the six weeks up to and including the TOC status date</w:t>
      </w:r>
    </w:p>
    <w:p w14:paraId="51062566" w14:textId="77777777" w:rsidR="0046466A" w:rsidRPr="0046466A" w:rsidRDefault="0046466A" w:rsidP="00297DD0">
      <w:pPr>
        <w:numPr>
          <w:ilvl w:val="0"/>
          <w:numId w:val="62"/>
        </w:numPr>
        <w:spacing w:before="100" w:beforeAutospacing="1" w:after="100" w:afterAutospacing="1" w:line="240" w:lineRule="auto"/>
        <w:rPr>
          <w:rFonts w:cs="Arial"/>
        </w:rPr>
      </w:pPr>
      <w:r w:rsidRPr="0046466A">
        <w:rPr>
          <w:rFonts w:cs="Arial"/>
        </w:rPr>
        <w:t>Produce a short written summary outlining levels of consistency, discrepancies and initial findings.</w:t>
      </w:r>
    </w:p>
    <w:p w14:paraId="73D58C9F" w14:textId="77777777" w:rsidR="0046466A" w:rsidRPr="0046466A" w:rsidRDefault="0046466A" w:rsidP="0046466A">
      <w:pPr>
        <w:spacing w:before="100" w:beforeAutospacing="1" w:after="100" w:afterAutospacing="1" w:line="240" w:lineRule="auto"/>
        <w:rPr>
          <w:rFonts w:cs="Arial"/>
        </w:rPr>
      </w:pPr>
      <w:r w:rsidRPr="0046466A">
        <w:rPr>
          <w:rFonts w:cs="Arial"/>
          <w:b/>
          <w:bCs/>
        </w:rPr>
        <w:t>Output 2: Reliability and consistency testing</w:t>
      </w:r>
    </w:p>
    <w:p w14:paraId="6280B668" w14:textId="77777777" w:rsidR="0046466A" w:rsidRPr="0046466A" w:rsidRDefault="0046466A" w:rsidP="00297DD0">
      <w:pPr>
        <w:numPr>
          <w:ilvl w:val="0"/>
          <w:numId w:val="63"/>
        </w:numPr>
        <w:spacing w:before="100" w:beforeAutospacing="1" w:after="100" w:afterAutospacing="1" w:line="240" w:lineRule="auto"/>
        <w:rPr>
          <w:rFonts w:cs="Arial"/>
        </w:rPr>
      </w:pPr>
      <w:r w:rsidRPr="0046466A">
        <w:rPr>
          <w:rFonts w:cs="Arial"/>
        </w:rPr>
        <w:t>Design and undertake further testing of TOC reliability and consistency informed by findings from the initial audit.</w:t>
      </w:r>
    </w:p>
    <w:p w14:paraId="63BBE06F" w14:textId="3867B483" w:rsidR="00297DD0" w:rsidRDefault="0046466A" w:rsidP="00297DD0">
      <w:pPr>
        <w:numPr>
          <w:ilvl w:val="0"/>
          <w:numId w:val="63"/>
        </w:numPr>
        <w:spacing w:before="100" w:beforeAutospacing="1" w:after="100" w:afterAutospacing="1" w:line="240" w:lineRule="auto"/>
        <w:rPr>
          <w:rFonts w:cs="Arial"/>
        </w:rPr>
      </w:pPr>
      <w:r w:rsidRPr="0046466A">
        <w:rPr>
          <w:rFonts w:cs="Arial"/>
        </w:rPr>
        <w:t>Clearly document methods and findings for internal review.</w:t>
      </w:r>
    </w:p>
    <w:p w14:paraId="538CE310" w14:textId="77777777" w:rsidR="00297DD0" w:rsidRPr="00297DD0" w:rsidRDefault="00297DD0" w:rsidP="00297DD0">
      <w:pPr>
        <w:spacing w:before="100" w:beforeAutospacing="1" w:after="100" w:afterAutospacing="1" w:line="240" w:lineRule="auto"/>
        <w:rPr>
          <w:rFonts w:cs="Arial"/>
        </w:rPr>
      </w:pPr>
    </w:p>
    <w:p w14:paraId="72A7FEC0" w14:textId="77777777" w:rsidR="0046466A" w:rsidRPr="00297DD0" w:rsidRDefault="0046466A" w:rsidP="00297DD0">
      <w:pPr>
        <w:spacing w:before="100" w:beforeAutospacing="1" w:after="100" w:afterAutospacing="1" w:line="240" w:lineRule="auto"/>
        <w:jc w:val="center"/>
        <w:rPr>
          <w:rFonts w:cs="Arial"/>
          <w:b/>
          <w:bCs/>
          <w:i/>
          <w:iCs/>
        </w:rPr>
      </w:pPr>
      <w:r w:rsidRPr="00297DD0">
        <w:rPr>
          <w:rFonts w:cs="Arial"/>
          <w:b/>
          <w:bCs/>
          <w:i/>
          <w:iCs/>
        </w:rPr>
        <w:t>Month 2 (Weeks 5–8): Recommendations and comparative analysis</w:t>
      </w:r>
    </w:p>
    <w:p w14:paraId="31E5024A" w14:textId="77777777" w:rsidR="0046466A" w:rsidRPr="0046466A" w:rsidRDefault="0046466A" w:rsidP="0046466A">
      <w:pPr>
        <w:spacing w:before="100" w:beforeAutospacing="1" w:after="100" w:afterAutospacing="1" w:line="240" w:lineRule="auto"/>
        <w:rPr>
          <w:rFonts w:cs="Arial"/>
        </w:rPr>
      </w:pPr>
      <w:r w:rsidRPr="0046466A">
        <w:rPr>
          <w:rFonts w:cs="Arial"/>
          <w:b/>
          <w:bCs/>
        </w:rPr>
        <w:t>Output 3: Recommendations for improving TOC reliability</w:t>
      </w:r>
    </w:p>
    <w:p w14:paraId="399591FF" w14:textId="77777777" w:rsidR="0046466A" w:rsidRPr="0046466A" w:rsidRDefault="0046466A" w:rsidP="00297DD0">
      <w:pPr>
        <w:numPr>
          <w:ilvl w:val="0"/>
          <w:numId w:val="64"/>
        </w:numPr>
        <w:spacing w:before="100" w:beforeAutospacing="1" w:after="100" w:afterAutospacing="1" w:line="240" w:lineRule="auto"/>
        <w:rPr>
          <w:rFonts w:cs="Arial"/>
        </w:rPr>
      </w:pPr>
      <w:r w:rsidRPr="0046466A">
        <w:rPr>
          <w:rFonts w:cs="Arial"/>
        </w:rPr>
        <w:t>Develop practical, evidence-based recommendations to improve the reliability and consistency of TOC recording and implementation.</w:t>
      </w:r>
    </w:p>
    <w:p w14:paraId="3A0EB78F" w14:textId="77777777" w:rsidR="0046466A" w:rsidRPr="0046466A" w:rsidRDefault="0046466A" w:rsidP="00297DD0">
      <w:pPr>
        <w:numPr>
          <w:ilvl w:val="0"/>
          <w:numId w:val="64"/>
        </w:numPr>
        <w:spacing w:before="100" w:beforeAutospacing="1" w:after="100" w:afterAutospacing="1" w:line="240" w:lineRule="auto"/>
        <w:rPr>
          <w:rFonts w:cs="Arial"/>
        </w:rPr>
      </w:pPr>
      <w:r w:rsidRPr="0046466A">
        <w:rPr>
          <w:rFonts w:cs="Arial"/>
        </w:rPr>
        <w:t>Work with internal data and research teams to outline an implementation plan.</w:t>
      </w:r>
    </w:p>
    <w:p w14:paraId="61A4AD35" w14:textId="77777777" w:rsidR="0046466A" w:rsidRPr="0046466A" w:rsidRDefault="0046466A" w:rsidP="0046466A">
      <w:pPr>
        <w:spacing w:before="100" w:beforeAutospacing="1" w:after="100" w:afterAutospacing="1" w:line="240" w:lineRule="auto"/>
        <w:rPr>
          <w:rFonts w:cs="Arial"/>
        </w:rPr>
      </w:pPr>
      <w:r w:rsidRPr="0046466A">
        <w:rPr>
          <w:rFonts w:cs="Arial"/>
          <w:b/>
          <w:bCs/>
        </w:rPr>
        <w:t>Output 4: Comparative analysis with NDTMS outcomes</w:t>
      </w:r>
    </w:p>
    <w:p w14:paraId="0595B64E" w14:textId="77777777" w:rsidR="0046466A" w:rsidRPr="0046466A" w:rsidRDefault="0046466A" w:rsidP="00297DD0">
      <w:pPr>
        <w:numPr>
          <w:ilvl w:val="0"/>
          <w:numId w:val="65"/>
        </w:numPr>
        <w:spacing w:before="100" w:beforeAutospacing="1" w:after="100" w:afterAutospacing="1" w:line="240" w:lineRule="auto"/>
        <w:rPr>
          <w:rFonts w:cs="Arial"/>
        </w:rPr>
      </w:pPr>
      <w:r w:rsidRPr="0046466A">
        <w:rPr>
          <w:rFonts w:cs="Arial"/>
        </w:rPr>
        <w:t>Analyse TOC data alongside NDTMS outcomes data, including treatment completions and substantial progress.</w:t>
      </w:r>
    </w:p>
    <w:p w14:paraId="5B7F7EF7" w14:textId="77777777" w:rsidR="0046466A" w:rsidRPr="0046466A" w:rsidRDefault="0046466A" w:rsidP="00297DD0">
      <w:pPr>
        <w:numPr>
          <w:ilvl w:val="0"/>
          <w:numId w:val="65"/>
        </w:numPr>
        <w:spacing w:before="100" w:beforeAutospacing="1" w:after="100" w:afterAutospacing="1" w:line="240" w:lineRule="auto"/>
        <w:rPr>
          <w:rFonts w:cs="Arial"/>
        </w:rPr>
      </w:pPr>
      <w:r w:rsidRPr="0046466A">
        <w:rPr>
          <w:rFonts w:cs="Arial"/>
        </w:rPr>
        <w:t>Compare findings by substance profile, TOC status and service/agency.</w:t>
      </w:r>
    </w:p>
    <w:p w14:paraId="2BA36442" w14:textId="04772E96" w:rsidR="00297DD0" w:rsidRDefault="0046466A" w:rsidP="00297DD0">
      <w:pPr>
        <w:numPr>
          <w:ilvl w:val="0"/>
          <w:numId w:val="65"/>
        </w:numPr>
        <w:spacing w:before="100" w:beforeAutospacing="1" w:after="100" w:afterAutospacing="1" w:line="240" w:lineRule="auto"/>
        <w:rPr>
          <w:rFonts w:cs="Arial"/>
        </w:rPr>
      </w:pPr>
      <w:r w:rsidRPr="0046466A">
        <w:rPr>
          <w:rFonts w:cs="Arial"/>
        </w:rPr>
        <w:t>Provide interpretation of similarities, differences and any additional insight generated by TOC data.</w:t>
      </w:r>
    </w:p>
    <w:p w14:paraId="7DFA2C3D" w14:textId="77777777" w:rsidR="00297DD0" w:rsidRPr="00297DD0" w:rsidRDefault="00297DD0" w:rsidP="00297DD0">
      <w:pPr>
        <w:spacing w:before="100" w:beforeAutospacing="1" w:after="100" w:afterAutospacing="1" w:line="240" w:lineRule="auto"/>
        <w:rPr>
          <w:rFonts w:cs="Arial"/>
        </w:rPr>
      </w:pPr>
    </w:p>
    <w:p w14:paraId="7E315CF4" w14:textId="77777777" w:rsidR="0046466A" w:rsidRPr="00297DD0" w:rsidRDefault="0046466A" w:rsidP="00297DD0">
      <w:pPr>
        <w:spacing w:before="100" w:beforeAutospacing="1" w:after="100" w:afterAutospacing="1" w:line="240" w:lineRule="auto"/>
        <w:jc w:val="center"/>
        <w:rPr>
          <w:rFonts w:cs="Arial"/>
          <w:b/>
          <w:bCs/>
          <w:i/>
          <w:iCs/>
        </w:rPr>
      </w:pPr>
      <w:r w:rsidRPr="00297DD0">
        <w:rPr>
          <w:rFonts w:cs="Arial"/>
          <w:b/>
          <w:bCs/>
          <w:i/>
          <w:iCs/>
        </w:rPr>
        <w:t>Month 3 (Weeks 9–12): In-depth analysis and reporting</w:t>
      </w:r>
    </w:p>
    <w:p w14:paraId="46C8017D" w14:textId="77777777" w:rsidR="0046466A" w:rsidRPr="0046466A" w:rsidRDefault="0046466A" w:rsidP="0046466A">
      <w:pPr>
        <w:spacing w:before="100" w:beforeAutospacing="1" w:after="100" w:afterAutospacing="1" w:line="240" w:lineRule="auto"/>
        <w:rPr>
          <w:rFonts w:cs="Arial"/>
        </w:rPr>
      </w:pPr>
      <w:r w:rsidRPr="0046466A">
        <w:rPr>
          <w:rFonts w:cs="Arial"/>
          <w:b/>
          <w:bCs/>
        </w:rPr>
        <w:t>Output 5: Discrete TOC data analysis</w:t>
      </w:r>
    </w:p>
    <w:p w14:paraId="01EDF434" w14:textId="77777777" w:rsidR="0046466A" w:rsidRPr="0046466A" w:rsidRDefault="0046466A" w:rsidP="00297DD0">
      <w:pPr>
        <w:numPr>
          <w:ilvl w:val="0"/>
          <w:numId w:val="66"/>
        </w:numPr>
        <w:spacing w:before="100" w:beforeAutospacing="1" w:after="100" w:afterAutospacing="1" w:line="240" w:lineRule="auto"/>
        <w:rPr>
          <w:rFonts w:cs="Arial"/>
        </w:rPr>
      </w:pPr>
      <w:r w:rsidRPr="0046466A">
        <w:rPr>
          <w:rFonts w:cs="Arial"/>
        </w:rPr>
        <w:t>Conduct in-depth analysis using agreed variables, which may include demographics, substance profile, treatment/intervention data and TOC progression.</w:t>
      </w:r>
    </w:p>
    <w:p w14:paraId="20BE0F90" w14:textId="77777777" w:rsidR="0046466A" w:rsidRPr="0046466A" w:rsidRDefault="0046466A" w:rsidP="00297DD0">
      <w:pPr>
        <w:numPr>
          <w:ilvl w:val="0"/>
          <w:numId w:val="66"/>
        </w:numPr>
        <w:spacing w:before="100" w:beforeAutospacing="1" w:after="100" w:afterAutospacing="1" w:line="240" w:lineRule="auto"/>
        <w:rPr>
          <w:rFonts w:cs="Arial"/>
        </w:rPr>
      </w:pPr>
      <w:r w:rsidRPr="0046466A">
        <w:rPr>
          <w:rFonts w:cs="Arial"/>
        </w:rPr>
        <w:t>Provide clear analytical commentary, including strengths and limitations of the dataset.</w:t>
      </w:r>
    </w:p>
    <w:p w14:paraId="3667C249" w14:textId="77777777" w:rsidR="0046466A" w:rsidRPr="0046466A" w:rsidRDefault="0046466A" w:rsidP="0046466A">
      <w:pPr>
        <w:spacing w:before="100" w:beforeAutospacing="1" w:after="100" w:afterAutospacing="1" w:line="240" w:lineRule="auto"/>
        <w:rPr>
          <w:rFonts w:cs="Arial"/>
        </w:rPr>
      </w:pPr>
      <w:r w:rsidRPr="0046466A">
        <w:rPr>
          <w:rFonts w:cs="Arial"/>
          <w:b/>
          <w:bCs/>
        </w:rPr>
        <w:lastRenderedPageBreak/>
        <w:t>Output 6: Visual outputs and reporting formats</w:t>
      </w:r>
    </w:p>
    <w:p w14:paraId="45953320" w14:textId="77777777" w:rsidR="0046466A" w:rsidRPr="0046466A" w:rsidRDefault="0046466A" w:rsidP="00297DD0">
      <w:pPr>
        <w:numPr>
          <w:ilvl w:val="0"/>
          <w:numId w:val="67"/>
        </w:numPr>
        <w:spacing w:before="100" w:beforeAutospacing="1" w:after="100" w:afterAutospacing="1" w:line="240" w:lineRule="auto"/>
        <w:rPr>
          <w:rFonts w:cs="Arial"/>
        </w:rPr>
      </w:pPr>
      <w:r w:rsidRPr="0046466A">
        <w:rPr>
          <w:rFonts w:cs="Arial"/>
        </w:rPr>
        <w:t>Produce a suite of clear, accessible graphics and reporting formats suitable for:</w:t>
      </w:r>
    </w:p>
    <w:p w14:paraId="07D72CD8" w14:textId="77777777" w:rsidR="0046466A" w:rsidRPr="0046466A" w:rsidRDefault="0046466A" w:rsidP="00297DD0">
      <w:pPr>
        <w:numPr>
          <w:ilvl w:val="1"/>
          <w:numId w:val="67"/>
        </w:numPr>
        <w:spacing w:before="100" w:beforeAutospacing="1" w:after="100" w:afterAutospacing="1" w:line="240" w:lineRule="auto"/>
        <w:rPr>
          <w:rFonts w:cs="Arial"/>
        </w:rPr>
      </w:pPr>
      <w:r w:rsidRPr="0046466A">
        <w:rPr>
          <w:rFonts w:cs="Arial"/>
        </w:rPr>
        <w:t>Board-level reporting</w:t>
      </w:r>
    </w:p>
    <w:p w14:paraId="64E00241" w14:textId="77777777" w:rsidR="0046466A" w:rsidRPr="0046466A" w:rsidRDefault="0046466A" w:rsidP="00297DD0">
      <w:pPr>
        <w:numPr>
          <w:ilvl w:val="1"/>
          <w:numId w:val="67"/>
        </w:numPr>
        <w:spacing w:before="100" w:beforeAutospacing="1" w:after="100" w:afterAutospacing="1" w:line="240" w:lineRule="auto"/>
        <w:rPr>
          <w:rFonts w:cs="Arial"/>
        </w:rPr>
      </w:pPr>
      <w:r w:rsidRPr="0046466A">
        <w:rPr>
          <w:rFonts w:cs="Arial"/>
        </w:rPr>
        <w:t>Funders and commissioners</w:t>
      </w:r>
    </w:p>
    <w:p w14:paraId="00C362C4" w14:textId="77777777" w:rsidR="0046466A" w:rsidRPr="0046466A" w:rsidRDefault="0046466A" w:rsidP="00297DD0">
      <w:pPr>
        <w:numPr>
          <w:ilvl w:val="1"/>
          <w:numId w:val="67"/>
        </w:numPr>
        <w:spacing w:before="100" w:beforeAutospacing="1" w:after="100" w:afterAutospacing="1" w:line="240" w:lineRule="auto"/>
        <w:rPr>
          <w:rFonts w:cs="Arial"/>
        </w:rPr>
      </w:pPr>
      <w:r w:rsidRPr="0046466A">
        <w:rPr>
          <w:rFonts w:cs="Arial"/>
        </w:rPr>
        <w:t>Service staff</w:t>
      </w:r>
    </w:p>
    <w:p w14:paraId="62B0A2F0" w14:textId="77777777" w:rsidR="0046466A" w:rsidRPr="0046466A" w:rsidRDefault="0046466A" w:rsidP="00297DD0">
      <w:pPr>
        <w:numPr>
          <w:ilvl w:val="0"/>
          <w:numId w:val="67"/>
        </w:numPr>
        <w:spacing w:before="100" w:beforeAutospacing="1" w:after="100" w:afterAutospacing="1" w:line="240" w:lineRule="auto"/>
        <w:rPr>
          <w:rFonts w:cs="Arial"/>
        </w:rPr>
      </w:pPr>
      <w:r w:rsidRPr="0046466A">
        <w:rPr>
          <w:rFonts w:cs="Arial"/>
        </w:rPr>
        <w:t>Outputs should be designed to be replicable and updateable for future use.</w:t>
      </w:r>
    </w:p>
    <w:p w14:paraId="2D67B1B3" w14:textId="77777777" w:rsidR="0046466A" w:rsidRPr="0046466A" w:rsidRDefault="0046466A" w:rsidP="0046466A">
      <w:pPr>
        <w:spacing w:before="100" w:beforeAutospacing="1" w:after="100" w:afterAutospacing="1" w:line="240" w:lineRule="auto"/>
        <w:rPr>
          <w:rFonts w:cs="Arial"/>
        </w:rPr>
      </w:pPr>
      <w:r w:rsidRPr="0046466A">
        <w:rPr>
          <w:rFonts w:cs="Arial"/>
          <w:b/>
          <w:bCs/>
        </w:rPr>
        <w:t>Output 7: Final report and presentation</w:t>
      </w:r>
    </w:p>
    <w:p w14:paraId="7E18DD2A" w14:textId="77777777" w:rsidR="0046466A" w:rsidRPr="0046466A" w:rsidRDefault="0046466A" w:rsidP="001C2CBA">
      <w:pPr>
        <w:numPr>
          <w:ilvl w:val="0"/>
          <w:numId w:val="69"/>
        </w:numPr>
        <w:spacing w:before="100" w:beforeAutospacing="1" w:after="100" w:afterAutospacing="1" w:line="240" w:lineRule="auto"/>
        <w:rPr>
          <w:rFonts w:cs="Arial"/>
        </w:rPr>
      </w:pPr>
      <w:r w:rsidRPr="0046466A">
        <w:rPr>
          <w:rFonts w:cs="Arial"/>
        </w:rPr>
        <w:t>Produce a final report synthesising findings and recommendations.</w:t>
      </w:r>
    </w:p>
    <w:p w14:paraId="1AE99CDB" w14:textId="77777777" w:rsidR="0046466A" w:rsidRPr="0046466A" w:rsidRDefault="0046466A" w:rsidP="001C2CBA">
      <w:pPr>
        <w:numPr>
          <w:ilvl w:val="0"/>
          <w:numId w:val="69"/>
        </w:numPr>
        <w:spacing w:before="100" w:beforeAutospacing="1" w:after="100" w:afterAutospacing="1" w:line="240" w:lineRule="auto"/>
        <w:rPr>
          <w:rFonts w:cs="Arial"/>
        </w:rPr>
      </w:pPr>
      <w:r w:rsidRPr="0046466A">
        <w:rPr>
          <w:rFonts w:cs="Arial"/>
        </w:rPr>
        <w:t>Prepare and deliver a presentation to the Board of Trustees.</w:t>
      </w:r>
    </w:p>
    <w:p w14:paraId="0F333622" w14:textId="5043986C" w:rsidR="0046466A" w:rsidRPr="0046466A" w:rsidRDefault="0046466A" w:rsidP="0046466A">
      <w:pPr>
        <w:spacing w:before="100" w:beforeAutospacing="1" w:after="100" w:afterAutospacing="1" w:line="240" w:lineRule="auto"/>
        <w:rPr>
          <w:rFonts w:cs="Arial"/>
        </w:rPr>
      </w:pPr>
    </w:p>
    <w:p w14:paraId="3AB06F26" w14:textId="5871D7F2" w:rsidR="0046466A" w:rsidRPr="001C2CBA" w:rsidRDefault="001C2CBA" w:rsidP="0046466A">
      <w:pPr>
        <w:spacing w:before="100" w:beforeAutospacing="1" w:after="100" w:afterAutospacing="1" w:line="240" w:lineRule="auto"/>
        <w:rPr>
          <w:rFonts w:cs="Arial"/>
          <w:b/>
          <w:bCs/>
          <w:sz w:val="32"/>
          <w:szCs w:val="32"/>
        </w:rPr>
      </w:pPr>
      <w:r w:rsidRPr="001C2CBA">
        <w:rPr>
          <w:rFonts w:cs="Arial"/>
          <w:b/>
          <w:bCs/>
          <w:sz w:val="32"/>
          <w:szCs w:val="32"/>
        </w:rPr>
        <w:t>G</w:t>
      </w:r>
      <w:r w:rsidR="0046466A" w:rsidRPr="001C2CBA">
        <w:rPr>
          <w:rFonts w:cs="Arial"/>
          <w:b/>
          <w:bCs/>
          <w:sz w:val="32"/>
          <w:szCs w:val="32"/>
        </w:rPr>
        <w:t>overnance and reporting</w:t>
      </w:r>
    </w:p>
    <w:p w14:paraId="1DA4D282" w14:textId="77777777" w:rsidR="0046466A" w:rsidRPr="0046466A" w:rsidRDefault="0046466A" w:rsidP="001C2CBA">
      <w:pPr>
        <w:numPr>
          <w:ilvl w:val="0"/>
          <w:numId w:val="71"/>
        </w:numPr>
        <w:spacing w:before="100" w:beforeAutospacing="1" w:after="100" w:afterAutospacing="1" w:line="240" w:lineRule="auto"/>
        <w:rPr>
          <w:rFonts w:cs="Arial"/>
        </w:rPr>
      </w:pPr>
      <w:r w:rsidRPr="0046466A">
        <w:rPr>
          <w:rFonts w:cs="Arial"/>
        </w:rPr>
        <w:t>The consultant will report to the Project Lead for technical direction.</w:t>
      </w:r>
    </w:p>
    <w:p w14:paraId="572C8690" w14:textId="77777777" w:rsidR="0046466A" w:rsidRPr="0046466A" w:rsidRDefault="0046466A" w:rsidP="001C2CBA">
      <w:pPr>
        <w:numPr>
          <w:ilvl w:val="0"/>
          <w:numId w:val="71"/>
        </w:numPr>
        <w:spacing w:before="100" w:beforeAutospacing="1" w:after="100" w:afterAutospacing="1" w:line="240" w:lineRule="auto"/>
        <w:rPr>
          <w:rFonts w:cs="Arial"/>
        </w:rPr>
      </w:pPr>
      <w:r w:rsidRPr="0046466A">
        <w:rPr>
          <w:rFonts w:cs="Arial"/>
        </w:rPr>
        <w:t>Day-to-day coordination, governance and delivery monitoring will be provided by the Research/Admin Lead.</w:t>
      </w:r>
    </w:p>
    <w:p w14:paraId="62332B23" w14:textId="77777777" w:rsidR="0046466A" w:rsidRPr="0046466A" w:rsidRDefault="0046466A" w:rsidP="001C2CBA">
      <w:pPr>
        <w:numPr>
          <w:ilvl w:val="0"/>
          <w:numId w:val="71"/>
        </w:numPr>
        <w:spacing w:before="100" w:beforeAutospacing="1" w:after="100" w:afterAutospacing="1" w:line="240" w:lineRule="auto"/>
        <w:rPr>
          <w:rFonts w:cs="Arial"/>
        </w:rPr>
      </w:pPr>
      <w:r w:rsidRPr="0046466A">
        <w:rPr>
          <w:rFonts w:cs="Arial"/>
        </w:rPr>
        <w:t>Regular progress updates and review meetings will be agreed at project initiation.</w:t>
      </w:r>
    </w:p>
    <w:p w14:paraId="600ABBF9" w14:textId="436E7024" w:rsidR="0046466A" w:rsidRPr="0046466A" w:rsidRDefault="0046466A" w:rsidP="0046466A">
      <w:pPr>
        <w:spacing w:before="100" w:beforeAutospacing="1" w:after="100" w:afterAutospacing="1" w:line="240" w:lineRule="auto"/>
        <w:rPr>
          <w:rFonts w:cs="Arial"/>
        </w:rPr>
      </w:pPr>
    </w:p>
    <w:p w14:paraId="16DA2CA1" w14:textId="1E380562" w:rsidR="0046466A" w:rsidRPr="001C2CBA" w:rsidRDefault="0046466A" w:rsidP="0046466A">
      <w:pPr>
        <w:spacing w:before="100" w:beforeAutospacing="1" w:after="100" w:afterAutospacing="1" w:line="240" w:lineRule="auto"/>
        <w:rPr>
          <w:rFonts w:cs="Arial"/>
          <w:b/>
          <w:bCs/>
          <w:sz w:val="32"/>
          <w:szCs w:val="32"/>
        </w:rPr>
      </w:pPr>
      <w:r w:rsidRPr="001C2CBA">
        <w:rPr>
          <w:rFonts w:cs="Arial"/>
          <w:b/>
          <w:bCs/>
          <w:sz w:val="32"/>
          <w:szCs w:val="32"/>
        </w:rPr>
        <w:t>Dependencies and assumptions</w:t>
      </w:r>
    </w:p>
    <w:p w14:paraId="4AEEE8EA" w14:textId="77777777" w:rsidR="0046466A" w:rsidRPr="0046466A" w:rsidRDefault="0046466A" w:rsidP="001C2CBA">
      <w:pPr>
        <w:numPr>
          <w:ilvl w:val="0"/>
          <w:numId w:val="70"/>
        </w:numPr>
        <w:spacing w:before="100" w:beforeAutospacing="1" w:after="100" w:afterAutospacing="1" w:line="240" w:lineRule="auto"/>
        <w:rPr>
          <w:rFonts w:cs="Arial"/>
        </w:rPr>
      </w:pPr>
      <w:r w:rsidRPr="0046466A">
        <w:rPr>
          <w:rFonts w:cs="Arial"/>
        </w:rPr>
        <w:t>Access to relevant service, TOC and NDTMS data will be provided by internal data teams, subject to governance and information-sharing requirements.</w:t>
      </w:r>
    </w:p>
    <w:p w14:paraId="4A6A3D56" w14:textId="77777777" w:rsidR="0046466A" w:rsidRPr="0046466A" w:rsidRDefault="0046466A" w:rsidP="001C2CBA">
      <w:pPr>
        <w:numPr>
          <w:ilvl w:val="0"/>
          <w:numId w:val="70"/>
        </w:numPr>
        <w:spacing w:before="100" w:beforeAutospacing="1" w:after="100" w:afterAutospacing="1" w:line="240" w:lineRule="auto"/>
        <w:rPr>
          <w:rFonts w:cs="Arial"/>
        </w:rPr>
      </w:pPr>
      <w:r w:rsidRPr="0046466A">
        <w:rPr>
          <w:rFonts w:cs="Arial"/>
        </w:rPr>
        <w:t>Timelines are indicative and assume timely access to data and key stakeholders.</w:t>
      </w:r>
    </w:p>
    <w:p w14:paraId="68BFEE65" w14:textId="77777777" w:rsidR="0046466A" w:rsidRPr="0046466A" w:rsidRDefault="0046466A" w:rsidP="001C2CBA">
      <w:pPr>
        <w:numPr>
          <w:ilvl w:val="0"/>
          <w:numId w:val="70"/>
        </w:numPr>
        <w:spacing w:before="100" w:beforeAutospacing="1" w:after="100" w:afterAutospacing="1" w:line="240" w:lineRule="auto"/>
        <w:rPr>
          <w:rFonts w:cs="Arial"/>
        </w:rPr>
      </w:pPr>
      <w:r w:rsidRPr="0046466A">
        <w:rPr>
          <w:rFonts w:cs="Arial"/>
        </w:rPr>
        <w:t>Any material changes to scope or outputs will be agreed in writing.</w:t>
      </w:r>
    </w:p>
    <w:p w14:paraId="262996F3" w14:textId="4F739251" w:rsidR="0046466A" w:rsidRPr="0046466A" w:rsidRDefault="0046466A" w:rsidP="0046466A">
      <w:pPr>
        <w:spacing w:before="100" w:beforeAutospacing="1" w:after="100" w:afterAutospacing="1" w:line="240" w:lineRule="auto"/>
        <w:rPr>
          <w:rFonts w:cs="Arial"/>
        </w:rPr>
      </w:pPr>
    </w:p>
    <w:p w14:paraId="24909E3A" w14:textId="5EBF0C7D" w:rsidR="0046466A" w:rsidRPr="001C2CBA" w:rsidRDefault="0046466A" w:rsidP="0046466A">
      <w:pPr>
        <w:spacing w:before="100" w:beforeAutospacing="1" w:after="100" w:afterAutospacing="1" w:line="240" w:lineRule="auto"/>
        <w:rPr>
          <w:rFonts w:cs="Arial"/>
          <w:b/>
          <w:bCs/>
          <w:sz w:val="32"/>
          <w:szCs w:val="32"/>
        </w:rPr>
      </w:pPr>
      <w:r w:rsidRPr="001C2CBA">
        <w:rPr>
          <w:rFonts w:cs="Arial"/>
          <w:b/>
          <w:bCs/>
          <w:sz w:val="32"/>
          <w:szCs w:val="32"/>
        </w:rPr>
        <w:t>Deliverables</w:t>
      </w:r>
    </w:p>
    <w:p w14:paraId="00A417F1" w14:textId="70C4B3FC" w:rsidR="0046466A" w:rsidRDefault="0046466A" w:rsidP="00A2255B">
      <w:pPr>
        <w:spacing w:before="100" w:beforeAutospacing="1" w:after="100" w:afterAutospacing="1" w:line="240" w:lineRule="auto"/>
        <w:rPr>
          <w:rFonts w:cs="Arial"/>
        </w:rPr>
      </w:pPr>
      <w:r w:rsidRPr="0046466A">
        <w:rPr>
          <w:rFonts w:cs="Arial"/>
        </w:rPr>
        <w:t>All deliverables will be provided in accessible formats suitable for internal use and future replication, with documentation of methods and assumptions.</w:t>
      </w:r>
    </w:p>
    <w:p w14:paraId="0A9BB540" w14:textId="77777777" w:rsidR="00A2255B" w:rsidRPr="00A16AC3" w:rsidRDefault="00A2255B" w:rsidP="00A2255B">
      <w:pPr>
        <w:spacing w:before="100" w:beforeAutospacing="1" w:after="100" w:afterAutospacing="1" w:line="240" w:lineRule="auto"/>
        <w:rPr>
          <w:rFonts w:cs="Arial"/>
        </w:rPr>
      </w:pPr>
    </w:p>
    <w:p w14:paraId="1B408C40" w14:textId="77777777" w:rsidR="00A16AC3" w:rsidRPr="001C2CBA" w:rsidRDefault="00A16AC3" w:rsidP="00A16AC3">
      <w:pPr>
        <w:spacing w:before="100" w:beforeAutospacing="1" w:after="100" w:afterAutospacing="1" w:line="240" w:lineRule="auto"/>
        <w:outlineLvl w:val="2"/>
        <w:rPr>
          <w:rFonts w:ascii="Helvetica" w:hAnsi="Helvetica" w:cs="Arial"/>
          <w:b/>
          <w:bCs/>
          <w:sz w:val="32"/>
          <w:szCs w:val="32"/>
          <w:u w:val="single"/>
        </w:rPr>
      </w:pPr>
      <w:r w:rsidRPr="001C2CBA">
        <w:rPr>
          <w:rFonts w:ascii="Helvetica" w:hAnsi="Helvetica" w:cs="Arial"/>
          <w:b/>
          <w:bCs/>
          <w:sz w:val="32"/>
          <w:szCs w:val="32"/>
          <w:u w:val="single"/>
        </w:rPr>
        <w:t>Person Specification</w:t>
      </w:r>
    </w:p>
    <w:p w14:paraId="16512335" w14:textId="77777777" w:rsidR="00A16AC3" w:rsidRPr="00A16AC3" w:rsidRDefault="00A16AC3" w:rsidP="00A16AC3">
      <w:pPr>
        <w:spacing w:before="100" w:beforeAutospacing="1" w:after="100" w:afterAutospacing="1" w:line="240" w:lineRule="auto"/>
        <w:rPr>
          <w:rFonts w:cs="Arial"/>
        </w:rPr>
      </w:pPr>
      <w:r w:rsidRPr="00A16AC3">
        <w:rPr>
          <w:rFonts w:cs="Arial"/>
          <w:b/>
          <w:bCs/>
        </w:rPr>
        <w:t>Essential:</w:t>
      </w:r>
    </w:p>
    <w:p w14:paraId="41C06552" w14:textId="77777777" w:rsidR="00A16AC3" w:rsidRPr="00A16AC3" w:rsidRDefault="00A16AC3" w:rsidP="00A16AC3">
      <w:pPr>
        <w:numPr>
          <w:ilvl w:val="0"/>
          <w:numId w:val="41"/>
        </w:numPr>
        <w:spacing w:before="100" w:beforeAutospacing="1" w:after="100" w:afterAutospacing="1" w:line="240" w:lineRule="auto"/>
        <w:rPr>
          <w:rFonts w:cs="Arial"/>
        </w:rPr>
      </w:pPr>
      <w:r w:rsidRPr="00A16AC3">
        <w:rPr>
          <w:rFonts w:cs="Arial"/>
        </w:rPr>
        <w:lastRenderedPageBreak/>
        <w:t>Postdoctoral-level researcher or equivalent experience in social science, addiction studies, public health, or related field.</w:t>
      </w:r>
    </w:p>
    <w:p w14:paraId="0CFBD60E" w14:textId="77777777" w:rsidR="00A16AC3" w:rsidRPr="00A16AC3" w:rsidRDefault="00A16AC3" w:rsidP="00A16AC3">
      <w:pPr>
        <w:numPr>
          <w:ilvl w:val="0"/>
          <w:numId w:val="41"/>
        </w:numPr>
        <w:spacing w:before="100" w:beforeAutospacing="1" w:after="100" w:afterAutospacing="1" w:line="240" w:lineRule="auto"/>
        <w:rPr>
          <w:rFonts w:cs="Arial"/>
        </w:rPr>
      </w:pPr>
      <w:r w:rsidRPr="00A16AC3">
        <w:rPr>
          <w:rFonts w:cs="Arial"/>
        </w:rPr>
        <w:t>Experience with quantitative data analysis and data visualisation (Power BI, Excel, or similar).</w:t>
      </w:r>
    </w:p>
    <w:p w14:paraId="344F93B4" w14:textId="77777777" w:rsidR="00A16AC3" w:rsidRPr="00A16AC3" w:rsidRDefault="00A16AC3" w:rsidP="00A16AC3">
      <w:pPr>
        <w:numPr>
          <w:ilvl w:val="0"/>
          <w:numId w:val="41"/>
        </w:numPr>
        <w:spacing w:before="100" w:beforeAutospacing="1" w:after="100" w:afterAutospacing="1" w:line="240" w:lineRule="auto"/>
        <w:rPr>
          <w:rFonts w:cs="Arial"/>
        </w:rPr>
      </w:pPr>
      <w:r w:rsidRPr="00A16AC3">
        <w:rPr>
          <w:rFonts w:cs="Arial"/>
        </w:rPr>
        <w:t>Strong understanding of treatment outcomes and recovery frameworks in substance use services.</w:t>
      </w:r>
    </w:p>
    <w:p w14:paraId="6BE23834" w14:textId="77777777" w:rsidR="00A16AC3" w:rsidRPr="00A16AC3" w:rsidRDefault="00A16AC3" w:rsidP="00A16AC3">
      <w:pPr>
        <w:numPr>
          <w:ilvl w:val="0"/>
          <w:numId w:val="41"/>
        </w:numPr>
        <w:spacing w:before="100" w:beforeAutospacing="1" w:after="100" w:afterAutospacing="1" w:line="240" w:lineRule="auto"/>
        <w:rPr>
          <w:rFonts w:cs="Arial"/>
        </w:rPr>
      </w:pPr>
      <w:r w:rsidRPr="00A16AC3">
        <w:rPr>
          <w:rFonts w:cs="Arial"/>
        </w:rPr>
        <w:t>Excellent written and verbal communication skills for diverse audiences.</w:t>
      </w:r>
    </w:p>
    <w:p w14:paraId="60931E98" w14:textId="77777777" w:rsidR="00A16AC3" w:rsidRPr="00A16AC3" w:rsidRDefault="00A16AC3" w:rsidP="00A16AC3">
      <w:pPr>
        <w:numPr>
          <w:ilvl w:val="0"/>
          <w:numId w:val="41"/>
        </w:numPr>
        <w:spacing w:before="100" w:beforeAutospacing="1" w:after="100" w:afterAutospacing="1" w:line="240" w:lineRule="auto"/>
        <w:rPr>
          <w:rFonts w:cs="Arial"/>
        </w:rPr>
      </w:pPr>
      <w:r w:rsidRPr="00A16AC3">
        <w:rPr>
          <w:rFonts w:cs="Arial"/>
        </w:rPr>
        <w:t>Experience with large, complex datasets and data quality assessment.</w:t>
      </w:r>
    </w:p>
    <w:p w14:paraId="0709A93B" w14:textId="77777777" w:rsidR="00A16AC3" w:rsidRPr="00A16AC3" w:rsidRDefault="00A16AC3" w:rsidP="00A16AC3">
      <w:pPr>
        <w:spacing w:before="100" w:beforeAutospacing="1" w:after="100" w:afterAutospacing="1" w:line="240" w:lineRule="auto"/>
        <w:rPr>
          <w:rFonts w:cs="Arial"/>
        </w:rPr>
      </w:pPr>
      <w:r w:rsidRPr="00A16AC3">
        <w:rPr>
          <w:rFonts w:cs="Arial"/>
          <w:b/>
          <w:bCs/>
        </w:rPr>
        <w:t>Desirable:</w:t>
      </w:r>
    </w:p>
    <w:p w14:paraId="18ADE127" w14:textId="77777777" w:rsidR="00A16AC3" w:rsidRPr="00A16AC3" w:rsidRDefault="00A16AC3" w:rsidP="00A16AC3">
      <w:pPr>
        <w:numPr>
          <w:ilvl w:val="0"/>
          <w:numId w:val="42"/>
        </w:numPr>
        <w:spacing w:before="100" w:beforeAutospacing="1" w:after="100" w:afterAutospacing="1" w:line="240" w:lineRule="auto"/>
        <w:rPr>
          <w:rFonts w:cs="Arial"/>
        </w:rPr>
      </w:pPr>
      <w:r w:rsidRPr="00A16AC3">
        <w:rPr>
          <w:rFonts w:cs="Arial"/>
        </w:rPr>
        <w:t>Knowledge of UK drug and alcohol services and NDTMS reporting.</w:t>
      </w:r>
    </w:p>
    <w:p w14:paraId="502C735B" w14:textId="69A83CF6" w:rsidR="00A16AC3" w:rsidRDefault="00A16AC3" w:rsidP="00A16AC3">
      <w:pPr>
        <w:numPr>
          <w:ilvl w:val="0"/>
          <w:numId w:val="42"/>
        </w:numPr>
        <w:spacing w:before="100" w:beforeAutospacing="1" w:after="100" w:afterAutospacing="1" w:line="240" w:lineRule="auto"/>
        <w:rPr>
          <w:rFonts w:cs="Arial"/>
        </w:rPr>
      </w:pPr>
      <w:r w:rsidRPr="00A16AC3">
        <w:rPr>
          <w:rFonts w:cs="Arial"/>
        </w:rPr>
        <w:t>Experience producing outputs for strategic decision-makers or funders.</w:t>
      </w:r>
    </w:p>
    <w:p w14:paraId="036706B0" w14:textId="77777777" w:rsidR="007F14AB" w:rsidRPr="00A16AC3" w:rsidRDefault="007F14AB" w:rsidP="00A16AC3">
      <w:pPr>
        <w:numPr>
          <w:ilvl w:val="0"/>
          <w:numId w:val="42"/>
        </w:numPr>
        <w:spacing w:before="100" w:beforeAutospacing="1" w:after="100" w:afterAutospacing="1" w:line="240" w:lineRule="auto"/>
        <w:rPr>
          <w:rFonts w:cs="Arial"/>
        </w:rPr>
      </w:pPr>
    </w:p>
    <w:p w14:paraId="54523B34" w14:textId="77777777" w:rsidR="00A16AC3" w:rsidRPr="007F14AB" w:rsidRDefault="00A16AC3" w:rsidP="00A16AC3">
      <w:pPr>
        <w:spacing w:before="100" w:beforeAutospacing="1" w:after="100" w:afterAutospacing="1" w:line="240" w:lineRule="auto"/>
        <w:outlineLvl w:val="2"/>
        <w:rPr>
          <w:rFonts w:ascii="Helvetica" w:hAnsi="Helvetica" w:cs="Arial"/>
          <w:b/>
          <w:bCs/>
          <w:sz w:val="32"/>
          <w:szCs w:val="32"/>
          <w:u w:val="single"/>
        </w:rPr>
      </w:pPr>
      <w:r w:rsidRPr="007F14AB">
        <w:rPr>
          <w:rFonts w:ascii="Helvetica" w:hAnsi="Helvetica" w:cs="Arial"/>
          <w:b/>
          <w:bCs/>
          <w:sz w:val="32"/>
          <w:szCs w:val="32"/>
          <w:u w:val="single"/>
        </w:rPr>
        <w:t>Supervision and Support</w:t>
      </w:r>
    </w:p>
    <w:p w14:paraId="1A26F476" w14:textId="77777777" w:rsidR="007F14AB" w:rsidRPr="007F14AB" w:rsidRDefault="007F14AB" w:rsidP="007F14AB">
      <w:pPr>
        <w:spacing w:before="100" w:beforeAutospacing="1" w:after="100" w:afterAutospacing="1" w:line="240" w:lineRule="auto"/>
        <w:rPr>
          <w:rFonts w:cs="Arial"/>
        </w:rPr>
      </w:pPr>
      <w:r w:rsidRPr="007F14AB">
        <w:rPr>
          <w:rFonts w:cs="Arial"/>
        </w:rPr>
        <w:t xml:space="preserve">The consultant will be supported through a </w:t>
      </w:r>
      <w:r w:rsidRPr="007F14AB">
        <w:rPr>
          <w:rFonts w:cs="Arial"/>
          <w:b/>
          <w:bCs/>
        </w:rPr>
        <w:t>split management arrangement</w:t>
      </w:r>
      <w:r w:rsidRPr="007F14AB">
        <w:rPr>
          <w:rFonts w:cs="Arial"/>
        </w:rPr>
        <w:t>, reflecting the technical and operational elements of the project.</w:t>
      </w:r>
    </w:p>
    <w:p w14:paraId="637D2390" w14:textId="77777777" w:rsidR="007F14AB" w:rsidRPr="007F14AB" w:rsidRDefault="007F14AB" w:rsidP="007F14AB">
      <w:pPr>
        <w:spacing w:before="100" w:beforeAutospacing="1" w:after="100" w:afterAutospacing="1" w:line="240" w:lineRule="auto"/>
        <w:rPr>
          <w:rFonts w:cs="Arial"/>
        </w:rPr>
      </w:pPr>
      <w:r w:rsidRPr="007F14AB">
        <w:rPr>
          <w:rFonts w:cs="Arial"/>
          <w:b/>
          <w:bCs/>
        </w:rPr>
        <w:t>Project and technical oversight</w:t>
      </w:r>
    </w:p>
    <w:p w14:paraId="52CA3D34" w14:textId="77777777" w:rsidR="007F14AB" w:rsidRPr="007F14AB" w:rsidRDefault="007F14AB" w:rsidP="007F14AB">
      <w:pPr>
        <w:numPr>
          <w:ilvl w:val="0"/>
          <w:numId w:val="75"/>
        </w:numPr>
        <w:spacing w:before="100" w:beforeAutospacing="1" w:after="100" w:afterAutospacing="1" w:line="240" w:lineRule="auto"/>
        <w:rPr>
          <w:rFonts w:cs="Arial"/>
        </w:rPr>
      </w:pPr>
      <w:r w:rsidRPr="007F14AB">
        <w:rPr>
          <w:rFonts w:cs="Arial"/>
        </w:rPr>
        <w:t xml:space="preserve">The consultant will receive project-level and subject-matter oversight from </w:t>
      </w:r>
      <w:r w:rsidRPr="007F14AB">
        <w:rPr>
          <w:rFonts w:cs="Arial"/>
          <w:b/>
          <w:bCs/>
        </w:rPr>
        <w:t>Dr McCall</w:t>
      </w:r>
      <w:r w:rsidRPr="007F14AB">
        <w:rPr>
          <w:rFonts w:cs="Arial"/>
        </w:rPr>
        <w:t>, including:</w:t>
      </w:r>
    </w:p>
    <w:p w14:paraId="339AD154" w14:textId="77777777" w:rsidR="007F14AB" w:rsidRPr="007F14AB" w:rsidRDefault="007F14AB" w:rsidP="007F14AB">
      <w:pPr>
        <w:numPr>
          <w:ilvl w:val="1"/>
          <w:numId w:val="75"/>
        </w:numPr>
        <w:spacing w:before="100" w:beforeAutospacing="1" w:after="100" w:afterAutospacing="1" w:line="240" w:lineRule="auto"/>
        <w:rPr>
          <w:rFonts w:cs="Arial"/>
        </w:rPr>
      </w:pPr>
      <w:r w:rsidRPr="007F14AB">
        <w:rPr>
          <w:rFonts w:cs="Arial"/>
        </w:rPr>
        <w:t>Guidance on the purpose and intended use of the Treatment Outcome Classification (TOC).</w:t>
      </w:r>
    </w:p>
    <w:p w14:paraId="555D4A66" w14:textId="77777777" w:rsidR="007F14AB" w:rsidRPr="007F14AB" w:rsidRDefault="007F14AB" w:rsidP="007F14AB">
      <w:pPr>
        <w:numPr>
          <w:ilvl w:val="1"/>
          <w:numId w:val="75"/>
        </w:numPr>
        <w:spacing w:before="100" w:beforeAutospacing="1" w:after="100" w:afterAutospacing="1" w:line="240" w:lineRule="auto"/>
        <w:rPr>
          <w:rFonts w:cs="Arial"/>
        </w:rPr>
      </w:pPr>
      <w:r w:rsidRPr="007F14AB">
        <w:rPr>
          <w:rFonts w:cs="Arial"/>
        </w:rPr>
        <w:t>Input on analytical focus areas and interpretation in line with organisational priorities.</w:t>
      </w:r>
    </w:p>
    <w:p w14:paraId="76FBFE72" w14:textId="77777777" w:rsidR="007F14AB" w:rsidRPr="007F14AB" w:rsidRDefault="007F14AB" w:rsidP="007F14AB">
      <w:pPr>
        <w:numPr>
          <w:ilvl w:val="1"/>
          <w:numId w:val="75"/>
        </w:numPr>
        <w:spacing w:before="100" w:beforeAutospacing="1" w:after="100" w:afterAutospacing="1" w:line="240" w:lineRule="auto"/>
        <w:rPr>
          <w:rFonts w:cs="Arial"/>
        </w:rPr>
      </w:pPr>
      <w:r w:rsidRPr="007F14AB">
        <w:rPr>
          <w:rFonts w:cs="Arial"/>
        </w:rPr>
        <w:t>Review of outputs from a project and strategic perspective.</w:t>
      </w:r>
    </w:p>
    <w:p w14:paraId="3C5D61FC" w14:textId="77777777" w:rsidR="007F14AB" w:rsidRPr="007F14AB" w:rsidRDefault="007F14AB" w:rsidP="007F14AB">
      <w:pPr>
        <w:spacing w:before="100" w:beforeAutospacing="1" w:after="100" w:afterAutospacing="1" w:line="240" w:lineRule="auto"/>
        <w:rPr>
          <w:rFonts w:cs="Arial"/>
        </w:rPr>
      </w:pPr>
      <w:r w:rsidRPr="007F14AB">
        <w:rPr>
          <w:rFonts w:cs="Arial"/>
          <w:b/>
          <w:bCs/>
        </w:rPr>
        <w:t>Research governance and operational management</w:t>
      </w:r>
    </w:p>
    <w:p w14:paraId="6584E313" w14:textId="44CC27A9" w:rsidR="007F14AB" w:rsidRPr="007F14AB" w:rsidRDefault="007F14AB" w:rsidP="007F14AB">
      <w:pPr>
        <w:spacing w:before="100" w:beforeAutospacing="1" w:after="100" w:afterAutospacing="1" w:line="240" w:lineRule="auto"/>
        <w:rPr>
          <w:rFonts w:cs="Arial"/>
        </w:rPr>
      </w:pPr>
      <w:r w:rsidRPr="007F14AB">
        <w:rPr>
          <w:rFonts w:cs="Arial"/>
        </w:rPr>
        <w:t xml:space="preserve">The consultant will be managed from a research and operational perspective by </w:t>
      </w:r>
      <w:r>
        <w:rPr>
          <w:rFonts w:cs="Arial"/>
          <w:b/>
          <w:bCs/>
        </w:rPr>
        <w:t>Dr</w:t>
      </w:r>
      <w:r w:rsidRPr="007F14AB">
        <w:rPr>
          <w:rFonts w:cs="Arial"/>
          <w:b/>
          <w:bCs/>
        </w:rPr>
        <w:t xml:space="preserve"> Couchinho</w:t>
      </w:r>
      <w:r w:rsidRPr="007F14AB">
        <w:rPr>
          <w:rFonts w:cs="Arial"/>
        </w:rPr>
        <w:t>, including:</w:t>
      </w:r>
    </w:p>
    <w:p w14:paraId="36084AA3" w14:textId="77777777" w:rsidR="007F14AB" w:rsidRPr="007F14AB" w:rsidRDefault="007F14AB" w:rsidP="007F14AB">
      <w:pPr>
        <w:numPr>
          <w:ilvl w:val="0"/>
          <w:numId w:val="74"/>
        </w:numPr>
        <w:spacing w:before="100" w:beforeAutospacing="1" w:after="100" w:afterAutospacing="1" w:line="240" w:lineRule="auto"/>
        <w:rPr>
          <w:rFonts w:cs="Arial"/>
        </w:rPr>
      </w:pPr>
      <w:r w:rsidRPr="007F14AB">
        <w:rPr>
          <w:rFonts w:cs="Arial"/>
        </w:rPr>
        <w:t>Providing organisational and service context for Forward Trust.</w:t>
      </w:r>
    </w:p>
    <w:p w14:paraId="772416EB" w14:textId="77777777" w:rsidR="007F14AB" w:rsidRPr="007F14AB" w:rsidRDefault="007F14AB" w:rsidP="007F14AB">
      <w:pPr>
        <w:numPr>
          <w:ilvl w:val="0"/>
          <w:numId w:val="74"/>
        </w:numPr>
        <w:spacing w:before="100" w:beforeAutospacing="1" w:after="100" w:afterAutospacing="1" w:line="240" w:lineRule="auto"/>
        <w:rPr>
          <w:rFonts w:cs="Arial"/>
        </w:rPr>
      </w:pPr>
      <w:r w:rsidRPr="007F14AB">
        <w:rPr>
          <w:rFonts w:cs="Arial"/>
        </w:rPr>
        <w:t>Coordinating access to datasets, systems, and relevant internal stakeholders.</w:t>
      </w:r>
    </w:p>
    <w:p w14:paraId="3E902F0E" w14:textId="77777777" w:rsidR="007F14AB" w:rsidRPr="007F14AB" w:rsidRDefault="007F14AB" w:rsidP="007F14AB">
      <w:pPr>
        <w:numPr>
          <w:ilvl w:val="0"/>
          <w:numId w:val="74"/>
        </w:numPr>
        <w:spacing w:before="100" w:beforeAutospacing="1" w:after="100" w:afterAutospacing="1" w:line="240" w:lineRule="auto"/>
        <w:rPr>
          <w:rFonts w:cs="Arial"/>
        </w:rPr>
      </w:pPr>
      <w:r w:rsidRPr="007F14AB">
        <w:rPr>
          <w:rFonts w:cs="Arial"/>
        </w:rPr>
        <w:t>Managing onboarding, contracts, timelines, meetings, and deliverables.</w:t>
      </w:r>
    </w:p>
    <w:p w14:paraId="3C6A0553" w14:textId="77777777" w:rsidR="007F14AB" w:rsidRPr="007F14AB" w:rsidRDefault="007F14AB" w:rsidP="007F14AB">
      <w:pPr>
        <w:numPr>
          <w:ilvl w:val="0"/>
          <w:numId w:val="74"/>
        </w:numPr>
        <w:spacing w:before="100" w:beforeAutospacing="1" w:after="100" w:afterAutospacing="1" w:line="240" w:lineRule="auto"/>
        <w:rPr>
          <w:rFonts w:cs="Arial"/>
        </w:rPr>
      </w:pPr>
      <w:r w:rsidRPr="007F14AB">
        <w:rPr>
          <w:rFonts w:cs="Arial"/>
        </w:rPr>
        <w:t>Quality-checking outputs for clarity, completeness, and alignment with agreed reporting requirements.</w:t>
      </w:r>
    </w:p>
    <w:p w14:paraId="4A5B27CE" w14:textId="77777777" w:rsidR="007F14AB" w:rsidRPr="007F14AB" w:rsidRDefault="007F14AB" w:rsidP="007F14AB">
      <w:pPr>
        <w:spacing w:before="100" w:beforeAutospacing="1" w:after="100" w:afterAutospacing="1" w:line="240" w:lineRule="auto"/>
        <w:rPr>
          <w:rFonts w:cs="Arial"/>
        </w:rPr>
      </w:pPr>
      <w:r w:rsidRPr="007F14AB">
        <w:rPr>
          <w:rFonts w:cs="Arial"/>
          <w:b/>
          <w:bCs/>
        </w:rPr>
        <w:t>Note:</w:t>
      </w:r>
      <w:r w:rsidRPr="007F14AB">
        <w:rPr>
          <w:rFonts w:cs="Arial"/>
        </w:rPr>
        <w:br/>
        <w:t>Neither manager is expected to provide technical supervision of statistical or analytical methods. The consultant will be responsible for selecting and applying appropriate methodologies and for the robustness of the analysis, while receiving guidance on organisational context, reporting expectations, and practical implementation considerations.</w:t>
      </w:r>
    </w:p>
    <w:p w14:paraId="0939C135" w14:textId="77777777" w:rsidR="00C36CC5" w:rsidRPr="00AD0716" w:rsidRDefault="00C36CC5" w:rsidP="00A16AC3">
      <w:pPr>
        <w:spacing w:before="100" w:beforeAutospacing="1" w:after="100" w:afterAutospacing="1" w:line="240" w:lineRule="auto"/>
        <w:rPr>
          <w:rFonts w:cs="Arial"/>
        </w:rPr>
      </w:pPr>
    </w:p>
    <w:p w14:paraId="7CF7D2D3" w14:textId="77777777" w:rsidR="00C36CC5" w:rsidRPr="001F1BA8" w:rsidRDefault="00C36CC5" w:rsidP="00C36CC5">
      <w:pPr>
        <w:spacing w:before="100" w:beforeAutospacing="1" w:after="100" w:afterAutospacing="1" w:line="240" w:lineRule="auto"/>
        <w:outlineLvl w:val="2"/>
        <w:rPr>
          <w:rFonts w:ascii="Helvetica" w:hAnsi="Helvetica" w:cs="Arial"/>
          <w:b/>
          <w:bCs/>
          <w:sz w:val="32"/>
          <w:szCs w:val="32"/>
          <w:u w:val="single"/>
        </w:rPr>
      </w:pPr>
      <w:r w:rsidRPr="001F1BA8">
        <w:rPr>
          <w:rFonts w:ascii="Helvetica" w:hAnsi="Helvetica" w:cs="Arial"/>
          <w:b/>
          <w:bCs/>
          <w:sz w:val="32"/>
          <w:szCs w:val="32"/>
          <w:u w:val="single"/>
        </w:rPr>
        <w:lastRenderedPageBreak/>
        <w:t>Working Hours and Supervision</w:t>
      </w:r>
    </w:p>
    <w:p w14:paraId="4A5FD3B9" w14:textId="509D23F2" w:rsidR="00C36CC5" w:rsidRPr="00C36CC5" w:rsidRDefault="00C36CC5" w:rsidP="00C36CC5">
      <w:pPr>
        <w:numPr>
          <w:ilvl w:val="0"/>
          <w:numId w:val="45"/>
        </w:numPr>
        <w:spacing w:before="100" w:beforeAutospacing="1" w:after="100" w:afterAutospacing="1" w:line="240" w:lineRule="auto"/>
        <w:rPr>
          <w:rFonts w:cs="Arial"/>
        </w:rPr>
      </w:pPr>
      <w:r w:rsidRPr="00C36CC5">
        <w:rPr>
          <w:rFonts w:cs="Arial"/>
        </w:rPr>
        <w:t xml:space="preserve">The placement is 3 months </w:t>
      </w:r>
      <w:r w:rsidR="00D00991">
        <w:rPr>
          <w:rFonts w:cs="Arial"/>
        </w:rPr>
        <w:t>full time</w:t>
      </w:r>
      <w:r w:rsidRPr="00C36CC5">
        <w:rPr>
          <w:rFonts w:cs="Arial"/>
        </w:rPr>
        <w:t xml:space="preserve"> between </w:t>
      </w:r>
      <w:r w:rsidR="00D00991">
        <w:rPr>
          <w:rFonts w:cs="Arial"/>
        </w:rPr>
        <w:t>February</w:t>
      </w:r>
      <w:r w:rsidRPr="00C36CC5">
        <w:rPr>
          <w:rFonts w:cs="Arial"/>
        </w:rPr>
        <w:t xml:space="preserve"> 2026 and June 2026.</w:t>
      </w:r>
    </w:p>
    <w:p w14:paraId="12E34A88" w14:textId="7E30F25B" w:rsidR="00C36CC5" w:rsidRPr="00C36CC5" w:rsidRDefault="00C36CC5" w:rsidP="00C36CC5">
      <w:pPr>
        <w:numPr>
          <w:ilvl w:val="0"/>
          <w:numId w:val="45"/>
        </w:numPr>
        <w:spacing w:before="100" w:beforeAutospacing="1" w:after="100" w:afterAutospacing="1" w:line="240" w:lineRule="auto"/>
        <w:rPr>
          <w:rFonts w:cs="Arial"/>
        </w:rPr>
      </w:pPr>
      <w:r w:rsidRPr="00C36CC5">
        <w:rPr>
          <w:rFonts w:cs="Arial"/>
        </w:rPr>
        <w:t xml:space="preserve">Supervision and progress meetings will take place every two weeks on either Monday or Tuesday with </w:t>
      </w:r>
      <w:r w:rsidR="00896318" w:rsidRPr="00AD0716">
        <w:rPr>
          <w:rFonts w:cs="Arial"/>
        </w:rPr>
        <w:t>Dr Couchinho</w:t>
      </w:r>
      <w:r w:rsidRPr="00C36CC5">
        <w:rPr>
          <w:rFonts w:cs="Arial"/>
        </w:rPr>
        <w:t>. These meetings are mandatory and will cover:</w:t>
      </w:r>
    </w:p>
    <w:p w14:paraId="34AEF097" w14:textId="77777777" w:rsidR="00C36CC5" w:rsidRPr="00C36CC5" w:rsidRDefault="00C36CC5" w:rsidP="00C36CC5">
      <w:pPr>
        <w:numPr>
          <w:ilvl w:val="1"/>
          <w:numId w:val="45"/>
        </w:numPr>
        <w:spacing w:before="100" w:beforeAutospacing="1" w:after="100" w:afterAutospacing="1" w:line="240" w:lineRule="auto"/>
        <w:rPr>
          <w:rFonts w:cs="Arial"/>
        </w:rPr>
      </w:pPr>
      <w:r w:rsidRPr="00C36CC5">
        <w:rPr>
          <w:rFonts w:cs="Arial"/>
        </w:rPr>
        <w:t>Progress against the workplan</w:t>
      </w:r>
    </w:p>
    <w:p w14:paraId="365098A3" w14:textId="77777777" w:rsidR="00C36CC5" w:rsidRPr="00C36CC5" w:rsidRDefault="00C36CC5" w:rsidP="00C36CC5">
      <w:pPr>
        <w:numPr>
          <w:ilvl w:val="1"/>
          <w:numId w:val="45"/>
        </w:numPr>
        <w:spacing w:before="100" w:beforeAutospacing="1" w:after="100" w:afterAutospacing="1" w:line="240" w:lineRule="auto"/>
        <w:rPr>
          <w:rFonts w:cs="Arial"/>
        </w:rPr>
      </w:pPr>
      <w:r w:rsidRPr="00C36CC5">
        <w:rPr>
          <w:rFonts w:cs="Arial"/>
        </w:rPr>
        <w:t>Contextual guidance on Forward Trust services and the TOC</w:t>
      </w:r>
    </w:p>
    <w:p w14:paraId="4CFC7F81" w14:textId="77777777" w:rsidR="00C36CC5" w:rsidRPr="00C36CC5" w:rsidRDefault="00C36CC5" w:rsidP="00C36CC5">
      <w:pPr>
        <w:numPr>
          <w:ilvl w:val="1"/>
          <w:numId w:val="45"/>
        </w:numPr>
        <w:spacing w:before="100" w:beforeAutospacing="1" w:after="100" w:afterAutospacing="1" w:line="240" w:lineRule="auto"/>
        <w:rPr>
          <w:rFonts w:cs="Arial"/>
        </w:rPr>
      </w:pPr>
      <w:r w:rsidRPr="00C36CC5">
        <w:rPr>
          <w:rFonts w:cs="Arial"/>
        </w:rPr>
        <w:t>Feedback on interim outputs, reports, and visualisations</w:t>
      </w:r>
    </w:p>
    <w:p w14:paraId="0DB44CFC" w14:textId="77777777" w:rsidR="00C36CC5" w:rsidRPr="00C36CC5" w:rsidRDefault="00C36CC5" w:rsidP="00C36CC5">
      <w:pPr>
        <w:numPr>
          <w:ilvl w:val="0"/>
          <w:numId w:val="45"/>
        </w:numPr>
        <w:spacing w:before="100" w:beforeAutospacing="1" w:after="100" w:afterAutospacing="1" w:line="240" w:lineRule="auto"/>
        <w:rPr>
          <w:rFonts w:cs="Arial"/>
        </w:rPr>
      </w:pPr>
      <w:r w:rsidRPr="00C36CC5">
        <w:rPr>
          <w:rFonts w:cs="Arial"/>
        </w:rPr>
        <w:t>The schedule for the placement and supervision meetings will be agreed at the start of the placement to ensure clarity and consistency.</w:t>
      </w:r>
    </w:p>
    <w:p w14:paraId="79B03D62" w14:textId="215909FA" w:rsidR="00A16AC3" w:rsidRPr="00A16AC3" w:rsidRDefault="00A16AC3" w:rsidP="00A16AC3">
      <w:pPr>
        <w:spacing w:line="240" w:lineRule="auto"/>
        <w:rPr>
          <w:rFonts w:cs="Arial"/>
        </w:rPr>
      </w:pPr>
    </w:p>
    <w:p w14:paraId="792FC1E9" w14:textId="77777777" w:rsidR="00A16AC3" w:rsidRPr="001F1BA8" w:rsidRDefault="00A16AC3" w:rsidP="00A16AC3">
      <w:pPr>
        <w:spacing w:before="100" w:beforeAutospacing="1" w:after="100" w:afterAutospacing="1" w:line="240" w:lineRule="auto"/>
        <w:outlineLvl w:val="2"/>
        <w:rPr>
          <w:rFonts w:ascii="Helvetica" w:hAnsi="Helvetica" w:cs="Arial"/>
          <w:b/>
          <w:bCs/>
          <w:sz w:val="32"/>
          <w:szCs w:val="32"/>
          <w:u w:val="single"/>
        </w:rPr>
      </w:pPr>
      <w:r w:rsidRPr="001F1BA8">
        <w:rPr>
          <w:rFonts w:ascii="Helvetica" w:hAnsi="Helvetica" w:cs="Arial"/>
          <w:b/>
          <w:bCs/>
          <w:sz w:val="32"/>
          <w:szCs w:val="32"/>
          <w:u w:val="single"/>
        </w:rPr>
        <w:t>Funding &amp; Administration</w:t>
      </w:r>
    </w:p>
    <w:p w14:paraId="382F000E" w14:textId="77777777" w:rsidR="00A16AC3" w:rsidRPr="00A16AC3" w:rsidRDefault="00A16AC3" w:rsidP="00A16AC3">
      <w:pPr>
        <w:numPr>
          <w:ilvl w:val="0"/>
          <w:numId w:val="44"/>
        </w:numPr>
        <w:spacing w:before="100" w:beforeAutospacing="1" w:after="100" w:afterAutospacing="1" w:line="240" w:lineRule="auto"/>
        <w:rPr>
          <w:rFonts w:cs="Arial"/>
        </w:rPr>
      </w:pPr>
      <w:r w:rsidRPr="00A16AC3">
        <w:rPr>
          <w:rFonts w:cs="Arial"/>
        </w:rPr>
        <w:t>University will cover the consultant’s salary (£12,000).</w:t>
      </w:r>
    </w:p>
    <w:p w14:paraId="7E21EF06" w14:textId="77777777" w:rsidR="00A16AC3" w:rsidRPr="00A16AC3" w:rsidRDefault="00A16AC3" w:rsidP="00A16AC3">
      <w:pPr>
        <w:numPr>
          <w:ilvl w:val="0"/>
          <w:numId w:val="44"/>
        </w:numPr>
        <w:spacing w:before="100" w:beforeAutospacing="1" w:after="100" w:afterAutospacing="1" w:line="240" w:lineRule="auto"/>
        <w:rPr>
          <w:rFonts w:cs="Arial"/>
        </w:rPr>
      </w:pPr>
      <w:r w:rsidRPr="00A16AC3">
        <w:rPr>
          <w:rFonts w:cs="Arial"/>
        </w:rPr>
        <w:t>Hosting, equipment, software, and administration costs (£4,000) will be provided at the start of the placement.</w:t>
      </w:r>
    </w:p>
    <w:p w14:paraId="64C6B072" w14:textId="77777777" w:rsidR="00A16AC3" w:rsidRPr="00AD0716" w:rsidRDefault="00A16AC3">
      <w:pPr>
        <w:rPr>
          <w:rFonts w:cs="Arial"/>
        </w:rPr>
      </w:pPr>
    </w:p>
    <w:sectPr w:rsidR="00A16AC3" w:rsidRPr="00AD071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C93B" w14:textId="77777777" w:rsidR="005332D7" w:rsidRDefault="005332D7" w:rsidP="000C196B">
      <w:pPr>
        <w:spacing w:line="240" w:lineRule="auto"/>
      </w:pPr>
      <w:r>
        <w:separator/>
      </w:r>
    </w:p>
  </w:endnote>
  <w:endnote w:type="continuationSeparator" w:id="0">
    <w:p w14:paraId="7088D5E5" w14:textId="77777777" w:rsidR="005332D7" w:rsidRDefault="005332D7" w:rsidP="000C1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596A" w14:textId="77777777" w:rsidR="005332D7" w:rsidRDefault="005332D7" w:rsidP="000C196B">
      <w:pPr>
        <w:spacing w:line="240" w:lineRule="auto"/>
      </w:pPr>
      <w:r>
        <w:separator/>
      </w:r>
    </w:p>
  </w:footnote>
  <w:footnote w:type="continuationSeparator" w:id="0">
    <w:p w14:paraId="25B288BC" w14:textId="77777777" w:rsidR="005332D7" w:rsidRDefault="005332D7" w:rsidP="000C19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A7BC" w14:textId="360816B9" w:rsidR="000C196B" w:rsidRDefault="00AD0716" w:rsidP="000C196B">
    <w:pPr>
      <w:pStyle w:val="Header"/>
      <w:jc w:val="right"/>
    </w:pPr>
    <w:r>
      <w:fldChar w:fldCharType="begin"/>
    </w:r>
    <w:r>
      <w:instrText xml:space="preserve"> INCLUDEPICTURE "https://encrypted-tbn0.gstatic.com/images?q=tbn:ANd9GcTgpxEhNpuDBDx1rLk74XBCe-ZWMgWs4rhg0A&amp;s" \* MERGEFORMATINET </w:instrText>
    </w:r>
    <w:r>
      <w:fldChar w:fldCharType="separate"/>
    </w:r>
    <w:r>
      <w:rPr>
        <w:noProof/>
      </w:rPr>
      <w:drawing>
        <wp:inline distT="0" distB="0" distL="0" distR="0" wp14:anchorId="5109478B" wp14:editId="28FB04EF">
          <wp:extent cx="1426628" cy="350888"/>
          <wp:effectExtent l="0" t="0" r="0" b="5080"/>
          <wp:docPr id="553353893" name="Picture 2" descr="Forward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ward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461" cy="371999"/>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723"/>
    <w:multiLevelType w:val="hybridMultilevel"/>
    <w:tmpl w:val="4AD2B26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33FE1"/>
    <w:multiLevelType w:val="multilevel"/>
    <w:tmpl w:val="A08ED32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576FA"/>
    <w:multiLevelType w:val="multilevel"/>
    <w:tmpl w:val="73807F5E"/>
    <w:lvl w:ilvl="0">
      <w:start w:val="1"/>
      <w:numFmt w:val="bullet"/>
      <w:lvlText w:val=""/>
      <w:lvlJc w:val="left"/>
      <w:pPr>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456DC"/>
    <w:multiLevelType w:val="multilevel"/>
    <w:tmpl w:val="FBE05C4E"/>
    <w:lvl w:ilvl="0">
      <w:start w:val="1"/>
      <w:numFmt w:val="decimal"/>
      <w:suff w:val="space"/>
      <w:lvlText w:val="Chapter %1"/>
      <w:lvlJc w:val="left"/>
      <w:pPr>
        <w:ind w:left="0" w:firstLine="0"/>
      </w:pPr>
      <w:rPr>
        <w:rFonts w:ascii="Times New Roman" w:hAnsi="Times New Roman" w:hint="default"/>
        <w:b/>
        <w:bCs/>
        <w:i w:val="0"/>
        <w:caps/>
        <w:strike w:val="0"/>
        <w:dstrike w:val="0"/>
        <w:vanish w:val="0"/>
        <w:vertAlign w:val="baseline"/>
      </w:rPr>
    </w:lvl>
    <w:lvl w:ilvl="1">
      <w:start w:val="1"/>
      <w:numFmt w:val="none"/>
      <w:suff w:val="nothing"/>
      <w:lvlText w:val="1.1."/>
      <w:lvlJc w:val="left"/>
      <w:pPr>
        <w:ind w:left="0" w:firstLine="0"/>
      </w:pPr>
      <w:rPr>
        <w:rFonts w:ascii="Times New Roman" w:hAnsi="Times New Roman" w:hint="default"/>
        <w:b w:val="0"/>
        <w:i w:val="0"/>
        <w:sz w:val="24"/>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876516D"/>
    <w:multiLevelType w:val="multilevel"/>
    <w:tmpl w:val="3E12A2F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77A02"/>
    <w:multiLevelType w:val="hybridMultilevel"/>
    <w:tmpl w:val="E68E61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07D72"/>
    <w:multiLevelType w:val="multilevel"/>
    <w:tmpl w:val="024A4C40"/>
    <w:lvl w:ilvl="0">
      <w:start w:val="2"/>
      <w:numFmt w:val="decimal"/>
      <w:lvlText w:val="%1.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CF5D9E"/>
    <w:multiLevelType w:val="multilevel"/>
    <w:tmpl w:val="75E2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B4ABE"/>
    <w:multiLevelType w:val="multilevel"/>
    <w:tmpl w:val="3D3A5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07A3D84"/>
    <w:multiLevelType w:val="multilevel"/>
    <w:tmpl w:val="794CD2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2056BEA"/>
    <w:multiLevelType w:val="multilevel"/>
    <w:tmpl w:val="CF708F70"/>
    <w:lvl w:ilvl="0">
      <w:start w:val="1"/>
      <w:numFmt w:val="decimal"/>
      <w:suff w:val="space"/>
      <w:lvlText w:val="Chapter %1"/>
      <w:lvlJc w:val="left"/>
      <w:pPr>
        <w:ind w:left="0" w:firstLine="0"/>
      </w:pPr>
      <w:rPr>
        <w:rFonts w:ascii="Times New Roman" w:hAnsi="Times New Roman" w:hint="default"/>
        <w:b/>
        <w:i w:val="0"/>
        <w:caps/>
        <w:strike w:val="0"/>
        <w:dstrike w:val="0"/>
        <w:vanish w:val="0"/>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2A61737"/>
    <w:multiLevelType w:val="multilevel"/>
    <w:tmpl w:val="FAA66526"/>
    <w:lvl w:ilvl="0">
      <w:start w:val="4"/>
      <w:numFmt w:val="decimal"/>
      <w:pStyle w:val="Heading1"/>
      <w:lvlText w:val="%1."/>
      <w:lvlJc w:val="left"/>
      <w:pPr>
        <w:ind w:left="400" w:hanging="4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2" w15:restartNumberingAfterBreak="0">
    <w:nsid w:val="136B20E4"/>
    <w:multiLevelType w:val="multilevel"/>
    <w:tmpl w:val="06B0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906EB2"/>
    <w:multiLevelType w:val="multilevel"/>
    <w:tmpl w:val="FC2A7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1F1414"/>
    <w:multiLevelType w:val="multilevel"/>
    <w:tmpl w:val="A00200B2"/>
    <w:lvl w:ilvl="0">
      <w:start w:val="1"/>
      <w:numFmt w:val="decimal"/>
      <w:suff w:val="space"/>
      <w:lvlText w:val="Chapter %1"/>
      <w:lvlJc w:val="left"/>
      <w:pPr>
        <w:ind w:left="360" w:firstLine="0"/>
      </w:pPr>
      <w:rPr>
        <w:rFonts w:ascii="Times New Roman" w:hAnsi="Times New Roman" w:hint="default"/>
        <w:b/>
        <w:i w:val="0"/>
        <w:caps w:val="0"/>
        <w:strike w:val="0"/>
        <w:dstrike w:val="0"/>
        <w:vanish w:val="0"/>
        <w:vertAlign w:val="baseline"/>
      </w:rPr>
    </w:lvl>
    <w:lvl w:ilvl="1">
      <w:start w:val="1"/>
      <w:numFmt w:val="none"/>
      <w:suff w:val="nothing"/>
      <w:lvlText w:val=""/>
      <w:lvlJc w:val="left"/>
      <w:pPr>
        <w:ind w:left="360" w:firstLine="0"/>
      </w:pPr>
      <w:rPr>
        <w:rFonts w:hint="default"/>
      </w:rPr>
    </w:lvl>
    <w:lvl w:ilvl="2">
      <w:start w:val="1"/>
      <w:numFmt w:val="none"/>
      <w:suff w:val="nothing"/>
      <w:lvlText w:val=""/>
      <w:lvlJc w:val="left"/>
      <w:pPr>
        <w:ind w:left="360" w:firstLine="0"/>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15" w15:restartNumberingAfterBreak="0">
    <w:nsid w:val="195E597D"/>
    <w:multiLevelType w:val="multilevel"/>
    <w:tmpl w:val="93DA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836F5F"/>
    <w:multiLevelType w:val="multilevel"/>
    <w:tmpl w:val="9458A31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840690"/>
    <w:multiLevelType w:val="multilevel"/>
    <w:tmpl w:val="D7C8CC0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6F571F"/>
    <w:multiLevelType w:val="multilevel"/>
    <w:tmpl w:val="F054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5D61E8"/>
    <w:multiLevelType w:val="multilevel"/>
    <w:tmpl w:val="A1CEE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B854D8"/>
    <w:multiLevelType w:val="multilevel"/>
    <w:tmpl w:val="5EB2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A530B4"/>
    <w:multiLevelType w:val="multilevel"/>
    <w:tmpl w:val="4240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A21138"/>
    <w:multiLevelType w:val="multilevel"/>
    <w:tmpl w:val="B24CA00A"/>
    <w:lvl w:ilvl="0">
      <w:start w:val="1"/>
      <w:numFmt w:val="decimal"/>
      <w:suff w:val="space"/>
      <w:lvlText w:val="Chapter %1"/>
      <w:lvlJc w:val="left"/>
      <w:pPr>
        <w:ind w:left="0" w:firstLine="0"/>
      </w:pPr>
      <w:rPr>
        <w:rFonts w:ascii="Times New Roman" w:hAnsi="Times New Roman" w:hint="default"/>
        <w:b/>
        <w:i w:val="0"/>
        <w:caps/>
        <w:strike w:val="0"/>
        <w:dstrike w:val="0"/>
        <w:vanish w:val="0"/>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58474F3"/>
    <w:multiLevelType w:val="multilevel"/>
    <w:tmpl w:val="616E15B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806037"/>
    <w:multiLevelType w:val="multilevel"/>
    <w:tmpl w:val="01407306"/>
    <w:lvl w:ilvl="0">
      <w:start w:val="1"/>
      <w:numFmt w:val="decimal"/>
      <w:lvlText w:val="%1."/>
      <w:lvlJc w:val="left"/>
      <w:pPr>
        <w:ind w:left="720" w:hanging="360"/>
      </w:pPr>
      <w:rPr>
        <w:rFonts w:hint="default"/>
        <w:b/>
        <w:i w:val="0"/>
        <w:caps/>
        <w:strike w:val="0"/>
        <w:dstrike w:val="0"/>
        <w:vanish w:val="0"/>
        <w:vertAlign w:val="baseline"/>
      </w:rPr>
    </w:lvl>
    <w:lvl w:ilvl="1">
      <w:start w:val="1"/>
      <w:numFmt w:val="decimal"/>
      <w:lvlText w:val="%1.%2."/>
      <w:lvlJc w:val="left"/>
      <w:pPr>
        <w:ind w:left="1152" w:hanging="432"/>
      </w:pPr>
      <w:rPr>
        <w:rFonts w:hint="default"/>
        <w:b w:val="0"/>
        <w:i w:val="0"/>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2AD2663A"/>
    <w:multiLevelType w:val="multilevel"/>
    <w:tmpl w:val="9340A83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7E7C35"/>
    <w:multiLevelType w:val="multilevel"/>
    <w:tmpl w:val="8E8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051BB3"/>
    <w:multiLevelType w:val="multilevel"/>
    <w:tmpl w:val="B59A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7A1147"/>
    <w:multiLevelType w:val="multilevel"/>
    <w:tmpl w:val="5A4ECE8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6F4E73"/>
    <w:multiLevelType w:val="multilevel"/>
    <w:tmpl w:val="83365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F893676"/>
    <w:multiLevelType w:val="multilevel"/>
    <w:tmpl w:val="FD14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C806C6"/>
    <w:multiLevelType w:val="multilevel"/>
    <w:tmpl w:val="2C20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B068FE"/>
    <w:multiLevelType w:val="multilevel"/>
    <w:tmpl w:val="D6A89976"/>
    <w:lvl w:ilvl="0">
      <w:start w:val="1"/>
      <w:numFmt w:val="decimal"/>
      <w:suff w:val="space"/>
      <w:lvlText w:val="Chapter %1"/>
      <w:lvlJc w:val="left"/>
      <w:pPr>
        <w:ind w:left="0" w:firstLine="0"/>
      </w:pPr>
      <w:rPr>
        <w:rFonts w:ascii="Times New Roman" w:hAnsi="Times New Roman" w:hint="default"/>
        <w:b/>
        <w:i w:val="0"/>
        <w:caps/>
        <w:strike w:val="0"/>
        <w:dstrike w:val="0"/>
        <w:vanish w:val="0"/>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5B16230"/>
    <w:multiLevelType w:val="multilevel"/>
    <w:tmpl w:val="7BD4E806"/>
    <w:lvl w:ilvl="0">
      <w:start w:val="1"/>
      <w:numFmt w:val="decimal"/>
      <w:suff w:val="space"/>
      <w:lvlText w:val="Chapter %1"/>
      <w:lvlJc w:val="left"/>
      <w:pPr>
        <w:ind w:left="0" w:firstLine="0"/>
      </w:pPr>
      <w:rPr>
        <w:rFonts w:ascii="Times New Roman" w:hAnsi="Times New Roman" w:hint="default"/>
        <w:b/>
        <w:i w:val="0"/>
        <w:sz w:val="28"/>
      </w:rPr>
    </w:lvl>
    <w:lvl w:ilvl="1">
      <w:start w:val="1"/>
      <w:numFmt w:val="none"/>
      <w:lvlText w:val="1.1"/>
      <w:lvlJc w:val="left"/>
      <w:pPr>
        <w:ind w:left="0" w:firstLine="0"/>
      </w:pPr>
      <w:rPr>
        <w:rFonts w:ascii="Times New Roman" w:hAnsi="Times New Roman" w:hint="default"/>
        <w:b/>
        <w:i w:val="0"/>
        <w:sz w:val="24"/>
      </w:rPr>
    </w:lvl>
    <w:lvl w:ilvl="2">
      <w:start w:val="1"/>
      <w:numFmt w:val="none"/>
      <w:lvlText w:val="1.1.1"/>
      <w:lvlJc w:val="left"/>
      <w:pPr>
        <w:ind w:left="1440" w:hanging="360"/>
      </w:pPr>
      <w:rPr>
        <w:rFonts w:ascii="Times New Roman" w:hAnsi="Times New Roman" w:hint="default"/>
        <w:b/>
        <w:i w:val="0"/>
        <w:sz w:val="24"/>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34" w15:restartNumberingAfterBreak="0">
    <w:nsid w:val="47E55BD8"/>
    <w:multiLevelType w:val="multilevel"/>
    <w:tmpl w:val="1494BA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84C4A17"/>
    <w:multiLevelType w:val="multilevel"/>
    <w:tmpl w:val="6388CB28"/>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9870FF8"/>
    <w:multiLevelType w:val="multilevel"/>
    <w:tmpl w:val="B28ACB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B681ED2"/>
    <w:multiLevelType w:val="multilevel"/>
    <w:tmpl w:val="DE1A16FE"/>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8" w15:restartNumberingAfterBreak="0">
    <w:nsid w:val="4C1B5FD2"/>
    <w:multiLevelType w:val="multilevel"/>
    <w:tmpl w:val="8634E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E956FF"/>
    <w:multiLevelType w:val="multilevel"/>
    <w:tmpl w:val="98046C0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B00D96"/>
    <w:multiLevelType w:val="hybridMultilevel"/>
    <w:tmpl w:val="15B4FEDA"/>
    <w:lvl w:ilvl="0" w:tplc="8DCAEE1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702891"/>
    <w:multiLevelType w:val="hybridMultilevel"/>
    <w:tmpl w:val="DC94C3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2A0E57"/>
    <w:multiLevelType w:val="multilevel"/>
    <w:tmpl w:val="A1F4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706F10"/>
    <w:multiLevelType w:val="multilevel"/>
    <w:tmpl w:val="A75E3FA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5630A3C"/>
    <w:multiLevelType w:val="hybridMultilevel"/>
    <w:tmpl w:val="9D44CBB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4C3FD2"/>
    <w:multiLevelType w:val="multilevel"/>
    <w:tmpl w:val="B44AE8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7871E5A"/>
    <w:multiLevelType w:val="multilevel"/>
    <w:tmpl w:val="57F6EB2C"/>
    <w:lvl w:ilvl="0">
      <w:start w:val="1"/>
      <w:numFmt w:val="bullet"/>
      <w:lvlText w:val=""/>
      <w:lvlJc w:val="left"/>
      <w:pPr>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FF349A"/>
    <w:multiLevelType w:val="multilevel"/>
    <w:tmpl w:val="87D4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5808EA"/>
    <w:multiLevelType w:val="multilevel"/>
    <w:tmpl w:val="A6081076"/>
    <w:lvl w:ilvl="0">
      <w:start w:val="1"/>
      <w:numFmt w:val="bullet"/>
      <w:lvlText w:val=""/>
      <w:lvlJc w:val="left"/>
      <w:pPr>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0195979"/>
    <w:multiLevelType w:val="multilevel"/>
    <w:tmpl w:val="090EDC7C"/>
    <w:lvl w:ilvl="0">
      <w:start w:val="1"/>
      <w:numFmt w:val="decimal"/>
      <w:suff w:val="space"/>
      <w:lvlText w:val="Chapter %1"/>
      <w:lvlJc w:val="left"/>
      <w:pPr>
        <w:ind w:left="0" w:firstLine="0"/>
      </w:pPr>
      <w:rPr>
        <w:rFonts w:ascii="Times New Roman" w:hAnsi="Times New Roman" w:hint="default"/>
        <w:b/>
        <w:i w:val="0"/>
        <w:caps/>
        <w:strike w:val="0"/>
        <w:dstrike w:val="0"/>
        <w:vanish w:val="0"/>
        <w:vertAlign w:val="baseline"/>
      </w:rPr>
    </w:lvl>
    <w:lvl w:ilvl="1">
      <w:start w:val="1"/>
      <w:numFmt w:val="none"/>
      <w:isLgl/>
      <w:suff w:val="nothing"/>
      <w:lvlText w:val="3.1."/>
      <w:lvlJc w:val="left"/>
      <w:pPr>
        <w:ind w:left="0" w:firstLine="0"/>
      </w:pPr>
      <w:rPr>
        <w:rFonts w:hint="default"/>
        <w:b/>
        <w:bCs/>
        <w:i w:val="0"/>
        <w:sz w:val="24"/>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621B7A74"/>
    <w:multiLevelType w:val="multilevel"/>
    <w:tmpl w:val="1692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E248C1"/>
    <w:multiLevelType w:val="multilevel"/>
    <w:tmpl w:val="AEEAB236"/>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64F72FF1"/>
    <w:multiLevelType w:val="multilevel"/>
    <w:tmpl w:val="B4A8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983523"/>
    <w:multiLevelType w:val="multilevel"/>
    <w:tmpl w:val="8D86EB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68D91CAB"/>
    <w:multiLevelType w:val="multilevel"/>
    <w:tmpl w:val="236E8BDE"/>
    <w:lvl w:ilvl="0">
      <w:start w:val="1"/>
      <w:numFmt w:val="none"/>
      <w:suff w:val="space"/>
      <w:lvlText w:val="Chapter 4"/>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6E947750"/>
    <w:multiLevelType w:val="multilevel"/>
    <w:tmpl w:val="665A0C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0443276"/>
    <w:multiLevelType w:val="multilevel"/>
    <w:tmpl w:val="2CDC5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3C3497"/>
    <w:multiLevelType w:val="multilevel"/>
    <w:tmpl w:val="39CE0F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A184860"/>
    <w:multiLevelType w:val="multilevel"/>
    <w:tmpl w:val="64D4712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4109908">
    <w:abstractNumId w:val="3"/>
  </w:num>
  <w:num w:numId="2" w16cid:durableId="141237220">
    <w:abstractNumId w:val="37"/>
  </w:num>
  <w:num w:numId="3" w16cid:durableId="696078334">
    <w:abstractNumId w:val="37"/>
  </w:num>
  <w:num w:numId="4" w16cid:durableId="1752501075">
    <w:abstractNumId w:val="29"/>
  </w:num>
  <w:num w:numId="5" w16cid:durableId="106124671">
    <w:abstractNumId w:val="11"/>
  </w:num>
  <w:num w:numId="6" w16cid:durableId="676200569">
    <w:abstractNumId w:val="40"/>
  </w:num>
  <w:num w:numId="7" w16cid:durableId="1622960524">
    <w:abstractNumId w:val="53"/>
  </w:num>
  <w:num w:numId="8" w16cid:durableId="188208758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3130243">
    <w:abstractNumId w:val="14"/>
  </w:num>
  <w:num w:numId="10" w16cid:durableId="89662052">
    <w:abstractNumId w:val="11"/>
  </w:num>
  <w:num w:numId="11" w16cid:durableId="910458464">
    <w:abstractNumId w:val="11"/>
  </w:num>
  <w:num w:numId="12" w16cid:durableId="639000785">
    <w:abstractNumId w:val="22"/>
  </w:num>
  <w:num w:numId="13" w16cid:durableId="2144882949">
    <w:abstractNumId w:val="32"/>
  </w:num>
  <w:num w:numId="14" w16cid:durableId="53286159">
    <w:abstractNumId w:val="32"/>
  </w:num>
  <w:num w:numId="15" w16cid:durableId="300234799">
    <w:abstractNumId w:val="10"/>
  </w:num>
  <w:num w:numId="16" w16cid:durableId="1704331805">
    <w:abstractNumId w:val="10"/>
  </w:num>
  <w:num w:numId="17" w16cid:durableId="514655041">
    <w:abstractNumId w:val="55"/>
  </w:num>
  <w:num w:numId="18" w16cid:durableId="2139759755">
    <w:abstractNumId w:val="24"/>
  </w:num>
  <w:num w:numId="19" w16cid:durableId="1255743716">
    <w:abstractNumId w:val="3"/>
  </w:num>
  <w:num w:numId="20" w16cid:durableId="378090428">
    <w:abstractNumId w:val="3"/>
  </w:num>
  <w:num w:numId="21" w16cid:durableId="2068143330">
    <w:abstractNumId w:val="24"/>
  </w:num>
  <w:num w:numId="22" w16cid:durableId="1307974561">
    <w:abstractNumId w:val="49"/>
  </w:num>
  <w:num w:numId="23" w16cid:durableId="165023791">
    <w:abstractNumId w:val="49"/>
  </w:num>
  <w:num w:numId="24" w16cid:durableId="1385175626">
    <w:abstractNumId w:val="49"/>
  </w:num>
  <w:num w:numId="25" w16cid:durableId="1429931082">
    <w:abstractNumId w:val="49"/>
  </w:num>
  <w:num w:numId="26" w16cid:durableId="171065734">
    <w:abstractNumId w:val="57"/>
  </w:num>
  <w:num w:numId="27" w16cid:durableId="282075446">
    <w:abstractNumId w:val="14"/>
  </w:num>
  <w:num w:numId="28" w16cid:durableId="1018235905">
    <w:abstractNumId w:val="45"/>
  </w:num>
  <w:num w:numId="29" w16cid:durableId="1474639456">
    <w:abstractNumId w:val="6"/>
  </w:num>
  <w:num w:numId="30" w16cid:durableId="1913392519">
    <w:abstractNumId w:val="34"/>
  </w:num>
  <w:num w:numId="31" w16cid:durableId="969826811">
    <w:abstractNumId w:val="8"/>
  </w:num>
  <w:num w:numId="32" w16cid:durableId="9255050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0282691">
    <w:abstractNumId w:val="54"/>
  </w:num>
  <w:num w:numId="34" w16cid:durableId="1810434331">
    <w:abstractNumId w:val="9"/>
  </w:num>
  <w:num w:numId="35" w16cid:durableId="1417245267">
    <w:abstractNumId w:val="33"/>
  </w:num>
  <w:num w:numId="36" w16cid:durableId="1295598660">
    <w:abstractNumId w:val="33"/>
  </w:num>
  <w:num w:numId="37" w16cid:durableId="1720857313">
    <w:abstractNumId w:val="33"/>
  </w:num>
  <w:num w:numId="38" w16cid:durableId="832457058">
    <w:abstractNumId w:val="51"/>
  </w:num>
  <w:num w:numId="39" w16cid:durableId="2124418415">
    <w:abstractNumId w:val="30"/>
  </w:num>
  <w:num w:numId="40" w16cid:durableId="284117858">
    <w:abstractNumId w:val="19"/>
  </w:num>
  <w:num w:numId="41" w16cid:durableId="1704936704">
    <w:abstractNumId w:val="27"/>
  </w:num>
  <w:num w:numId="42" w16cid:durableId="1006901072">
    <w:abstractNumId w:val="47"/>
  </w:num>
  <w:num w:numId="43" w16cid:durableId="1944072831">
    <w:abstractNumId w:val="12"/>
  </w:num>
  <w:num w:numId="44" w16cid:durableId="1375037884">
    <w:abstractNumId w:val="50"/>
  </w:num>
  <w:num w:numId="45" w16cid:durableId="2044859534">
    <w:abstractNumId w:val="7"/>
  </w:num>
  <w:num w:numId="46" w16cid:durableId="1736583015">
    <w:abstractNumId w:val="52"/>
  </w:num>
  <w:num w:numId="47" w16cid:durableId="266155757">
    <w:abstractNumId w:val="38"/>
  </w:num>
  <w:num w:numId="48" w16cid:durableId="1487938246">
    <w:abstractNumId w:val="42"/>
  </w:num>
  <w:num w:numId="49" w16cid:durableId="1082020432">
    <w:abstractNumId w:val="31"/>
  </w:num>
  <w:num w:numId="50" w16cid:durableId="547255277">
    <w:abstractNumId w:val="21"/>
  </w:num>
  <w:num w:numId="51" w16cid:durableId="1186863571">
    <w:abstractNumId w:val="18"/>
  </w:num>
  <w:num w:numId="52" w16cid:durableId="658340936">
    <w:abstractNumId w:val="56"/>
  </w:num>
  <w:num w:numId="53" w16cid:durableId="1746145608">
    <w:abstractNumId w:val="20"/>
  </w:num>
  <w:num w:numId="54" w16cid:durableId="17894527">
    <w:abstractNumId w:val="26"/>
  </w:num>
  <w:num w:numId="55" w16cid:durableId="2131783426">
    <w:abstractNumId w:val="15"/>
  </w:num>
  <w:num w:numId="56" w16cid:durableId="433207480">
    <w:abstractNumId w:val="35"/>
  </w:num>
  <w:num w:numId="57" w16cid:durableId="713042910">
    <w:abstractNumId w:val="46"/>
  </w:num>
  <w:num w:numId="58" w16cid:durableId="1029574260">
    <w:abstractNumId w:val="58"/>
  </w:num>
  <w:num w:numId="59" w16cid:durableId="257180341">
    <w:abstractNumId w:val="43"/>
  </w:num>
  <w:num w:numId="60" w16cid:durableId="789670897">
    <w:abstractNumId w:val="44"/>
  </w:num>
  <w:num w:numId="61" w16cid:durableId="995844701">
    <w:abstractNumId w:val="48"/>
  </w:num>
  <w:num w:numId="62" w16cid:durableId="1256522234">
    <w:abstractNumId w:val="5"/>
  </w:num>
  <w:num w:numId="63" w16cid:durableId="1668631699">
    <w:abstractNumId w:val="17"/>
  </w:num>
  <w:num w:numId="64" w16cid:durableId="1166019058">
    <w:abstractNumId w:val="39"/>
  </w:num>
  <w:num w:numId="65" w16cid:durableId="1317300665">
    <w:abstractNumId w:val="23"/>
  </w:num>
  <w:num w:numId="66" w16cid:durableId="1302614573">
    <w:abstractNumId w:val="16"/>
  </w:num>
  <w:num w:numId="67" w16cid:durableId="1171873591">
    <w:abstractNumId w:val="0"/>
  </w:num>
  <w:num w:numId="68" w16cid:durableId="1956204553">
    <w:abstractNumId w:val="28"/>
  </w:num>
  <w:num w:numId="69" w16cid:durableId="2069956832">
    <w:abstractNumId w:val="4"/>
  </w:num>
  <w:num w:numId="70" w16cid:durableId="481240978">
    <w:abstractNumId w:val="25"/>
  </w:num>
  <w:num w:numId="71" w16cid:durableId="1800293316">
    <w:abstractNumId w:val="1"/>
  </w:num>
  <w:num w:numId="72" w16cid:durableId="183440105">
    <w:abstractNumId w:val="36"/>
  </w:num>
  <w:num w:numId="73" w16cid:durableId="2063363353">
    <w:abstractNumId w:val="13"/>
  </w:num>
  <w:num w:numId="74" w16cid:durableId="960038282">
    <w:abstractNumId w:val="2"/>
  </w:num>
  <w:num w:numId="75" w16cid:durableId="139272936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5B"/>
    <w:rsid w:val="000111F4"/>
    <w:rsid w:val="00034643"/>
    <w:rsid w:val="00052D1F"/>
    <w:rsid w:val="00052E6D"/>
    <w:rsid w:val="000678E9"/>
    <w:rsid w:val="000804CC"/>
    <w:rsid w:val="000B112A"/>
    <w:rsid w:val="000C196B"/>
    <w:rsid w:val="000D5ED3"/>
    <w:rsid w:val="000E4255"/>
    <w:rsid w:val="000E7464"/>
    <w:rsid w:val="000F4EB6"/>
    <w:rsid w:val="000F7D13"/>
    <w:rsid w:val="001103A8"/>
    <w:rsid w:val="00122DD8"/>
    <w:rsid w:val="00124EDF"/>
    <w:rsid w:val="00125271"/>
    <w:rsid w:val="0015626D"/>
    <w:rsid w:val="00184E25"/>
    <w:rsid w:val="00186A0D"/>
    <w:rsid w:val="00195D72"/>
    <w:rsid w:val="001A2C07"/>
    <w:rsid w:val="001B205F"/>
    <w:rsid w:val="001C2CBA"/>
    <w:rsid w:val="001D06DA"/>
    <w:rsid w:val="001E2A7F"/>
    <w:rsid w:val="001F1BA8"/>
    <w:rsid w:val="002028CC"/>
    <w:rsid w:val="00207669"/>
    <w:rsid w:val="00213731"/>
    <w:rsid w:val="00214D5A"/>
    <w:rsid w:val="0023773C"/>
    <w:rsid w:val="0024354E"/>
    <w:rsid w:val="00276301"/>
    <w:rsid w:val="00276C46"/>
    <w:rsid w:val="00297DD0"/>
    <w:rsid w:val="002B17A1"/>
    <w:rsid w:val="002B55DE"/>
    <w:rsid w:val="002C4AE7"/>
    <w:rsid w:val="002D18BA"/>
    <w:rsid w:val="002E61FA"/>
    <w:rsid w:val="002F26FD"/>
    <w:rsid w:val="003079FD"/>
    <w:rsid w:val="003149C7"/>
    <w:rsid w:val="003332F5"/>
    <w:rsid w:val="00350CCA"/>
    <w:rsid w:val="00361079"/>
    <w:rsid w:val="003674F4"/>
    <w:rsid w:val="00373DE3"/>
    <w:rsid w:val="00374450"/>
    <w:rsid w:val="00397422"/>
    <w:rsid w:val="003977E2"/>
    <w:rsid w:val="003A7A9C"/>
    <w:rsid w:val="003D1B1B"/>
    <w:rsid w:val="00417A2F"/>
    <w:rsid w:val="00417B4B"/>
    <w:rsid w:val="00437D06"/>
    <w:rsid w:val="004401AB"/>
    <w:rsid w:val="0044284F"/>
    <w:rsid w:val="0046466A"/>
    <w:rsid w:val="00464874"/>
    <w:rsid w:val="00465ACE"/>
    <w:rsid w:val="004750E0"/>
    <w:rsid w:val="00486F10"/>
    <w:rsid w:val="00491B51"/>
    <w:rsid w:val="0049727E"/>
    <w:rsid w:val="004A150F"/>
    <w:rsid w:val="004B0782"/>
    <w:rsid w:val="004C490B"/>
    <w:rsid w:val="004E455D"/>
    <w:rsid w:val="005061EB"/>
    <w:rsid w:val="005128A0"/>
    <w:rsid w:val="0052089D"/>
    <w:rsid w:val="005332D7"/>
    <w:rsid w:val="00540181"/>
    <w:rsid w:val="0054177D"/>
    <w:rsid w:val="00553E94"/>
    <w:rsid w:val="005658CF"/>
    <w:rsid w:val="0057339C"/>
    <w:rsid w:val="00575F92"/>
    <w:rsid w:val="0057752C"/>
    <w:rsid w:val="0059219E"/>
    <w:rsid w:val="00592387"/>
    <w:rsid w:val="005D1D90"/>
    <w:rsid w:val="005D2C9F"/>
    <w:rsid w:val="005D3353"/>
    <w:rsid w:val="005E035B"/>
    <w:rsid w:val="005E31D7"/>
    <w:rsid w:val="00627F33"/>
    <w:rsid w:val="00632726"/>
    <w:rsid w:val="00647749"/>
    <w:rsid w:val="0067482C"/>
    <w:rsid w:val="00680A8C"/>
    <w:rsid w:val="00691A0D"/>
    <w:rsid w:val="006A6BA4"/>
    <w:rsid w:val="006B538F"/>
    <w:rsid w:val="006B575C"/>
    <w:rsid w:val="006C1853"/>
    <w:rsid w:val="006C435C"/>
    <w:rsid w:val="006C77B5"/>
    <w:rsid w:val="006C7CF5"/>
    <w:rsid w:val="006D1370"/>
    <w:rsid w:val="006D5680"/>
    <w:rsid w:val="006E2652"/>
    <w:rsid w:val="006F1F71"/>
    <w:rsid w:val="007262BF"/>
    <w:rsid w:val="00744569"/>
    <w:rsid w:val="00756472"/>
    <w:rsid w:val="00760E12"/>
    <w:rsid w:val="00761A3F"/>
    <w:rsid w:val="007655D6"/>
    <w:rsid w:val="00774BD5"/>
    <w:rsid w:val="0079046F"/>
    <w:rsid w:val="007B3080"/>
    <w:rsid w:val="007C78A3"/>
    <w:rsid w:val="007E346A"/>
    <w:rsid w:val="007F1196"/>
    <w:rsid w:val="007F14AB"/>
    <w:rsid w:val="0080007C"/>
    <w:rsid w:val="008059A9"/>
    <w:rsid w:val="00836CF1"/>
    <w:rsid w:val="00843D46"/>
    <w:rsid w:val="00845A97"/>
    <w:rsid w:val="00846D8F"/>
    <w:rsid w:val="00872A55"/>
    <w:rsid w:val="00896318"/>
    <w:rsid w:val="008B6F9A"/>
    <w:rsid w:val="008C62B9"/>
    <w:rsid w:val="008D50A1"/>
    <w:rsid w:val="008F40A6"/>
    <w:rsid w:val="008F45BB"/>
    <w:rsid w:val="008F52E6"/>
    <w:rsid w:val="00912285"/>
    <w:rsid w:val="0092595E"/>
    <w:rsid w:val="00945FE3"/>
    <w:rsid w:val="00952ADE"/>
    <w:rsid w:val="009673A4"/>
    <w:rsid w:val="00971AA9"/>
    <w:rsid w:val="009837E7"/>
    <w:rsid w:val="0098430D"/>
    <w:rsid w:val="009A5A53"/>
    <w:rsid w:val="009C0055"/>
    <w:rsid w:val="009C6F39"/>
    <w:rsid w:val="009C7E65"/>
    <w:rsid w:val="009E0498"/>
    <w:rsid w:val="009F5FC1"/>
    <w:rsid w:val="00A07FC5"/>
    <w:rsid w:val="00A14CDB"/>
    <w:rsid w:val="00A16AC3"/>
    <w:rsid w:val="00A2255B"/>
    <w:rsid w:val="00A31AC4"/>
    <w:rsid w:val="00A56388"/>
    <w:rsid w:val="00A77905"/>
    <w:rsid w:val="00A80EB8"/>
    <w:rsid w:val="00A92334"/>
    <w:rsid w:val="00A93F60"/>
    <w:rsid w:val="00AA0818"/>
    <w:rsid w:val="00AB725F"/>
    <w:rsid w:val="00AB78F1"/>
    <w:rsid w:val="00AC76B4"/>
    <w:rsid w:val="00AD0716"/>
    <w:rsid w:val="00AD1742"/>
    <w:rsid w:val="00AD56B8"/>
    <w:rsid w:val="00AD6139"/>
    <w:rsid w:val="00AE6CA8"/>
    <w:rsid w:val="00AF0686"/>
    <w:rsid w:val="00B10793"/>
    <w:rsid w:val="00B134A4"/>
    <w:rsid w:val="00B26B7D"/>
    <w:rsid w:val="00B45DB6"/>
    <w:rsid w:val="00B510D1"/>
    <w:rsid w:val="00B63BC0"/>
    <w:rsid w:val="00B64E36"/>
    <w:rsid w:val="00B833CB"/>
    <w:rsid w:val="00B841FB"/>
    <w:rsid w:val="00B8737A"/>
    <w:rsid w:val="00BA0F2D"/>
    <w:rsid w:val="00BC65AC"/>
    <w:rsid w:val="00BE6FA9"/>
    <w:rsid w:val="00BF2370"/>
    <w:rsid w:val="00BF75A2"/>
    <w:rsid w:val="00C04246"/>
    <w:rsid w:val="00C268ED"/>
    <w:rsid w:val="00C35A96"/>
    <w:rsid w:val="00C36CC5"/>
    <w:rsid w:val="00C628FE"/>
    <w:rsid w:val="00C65883"/>
    <w:rsid w:val="00C86F00"/>
    <w:rsid w:val="00CA05A5"/>
    <w:rsid w:val="00CA4142"/>
    <w:rsid w:val="00CA7DB1"/>
    <w:rsid w:val="00CB409B"/>
    <w:rsid w:val="00CC4CE1"/>
    <w:rsid w:val="00D0016A"/>
    <w:rsid w:val="00D00991"/>
    <w:rsid w:val="00D16FC3"/>
    <w:rsid w:val="00D22466"/>
    <w:rsid w:val="00D2688F"/>
    <w:rsid w:val="00D35C78"/>
    <w:rsid w:val="00D403C7"/>
    <w:rsid w:val="00D50921"/>
    <w:rsid w:val="00D73D2B"/>
    <w:rsid w:val="00D8717A"/>
    <w:rsid w:val="00D9292F"/>
    <w:rsid w:val="00DA3AEF"/>
    <w:rsid w:val="00DB1F7F"/>
    <w:rsid w:val="00DB35F1"/>
    <w:rsid w:val="00DD6AD4"/>
    <w:rsid w:val="00DF5EA0"/>
    <w:rsid w:val="00DF736E"/>
    <w:rsid w:val="00E05F6A"/>
    <w:rsid w:val="00E17F61"/>
    <w:rsid w:val="00E24C35"/>
    <w:rsid w:val="00E30015"/>
    <w:rsid w:val="00E52EDF"/>
    <w:rsid w:val="00E81823"/>
    <w:rsid w:val="00E8685D"/>
    <w:rsid w:val="00E90237"/>
    <w:rsid w:val="00E91A0E"/>
    <w:rsid w:val="00EA2C72"/>
    <w:rsid w:val="00EA4F37"/>
    <w:rsid w:val="00EA649F"/>
    <w:rsid w:val="00EC0365"/>
    <w:rsid w:val="00EC0949"/>
    <w:rsid w:val="00EC4E8D"/>
    <w:rsid w:val="00EC4F54"/>
    <w:rsid w:val="00ED39C0"/>
    <w:rsid w:val="00EE2F34"/>
    <w:rsid w:val="00EF4051"/>
    <w:rsid w:val="00EF59CF"/>
    <w:rsid w:val="00F0598F"/>
    <w:rsid w:val="00F16D7E"/>
    <w:rsid w:val="00F25BE5"/>
    <w:rsid w:val="00F418D1"/>
    <w:rsid w:val="00F43588"/>
    <w:rsid w:val="00F70283"/>
    <w:rsid w:val="00F85338"/>
    <w:rsid w:val="00FA011E"/>
    <w:rsid w:val="00FA4F44"/>
    <w:rsid w:val="00FE384F"/>
    <w:rsid w:val="00FE5666"/>
    <w:rsid w:val="00FF18F3"/>
    <w:rsid w:val="00FF26F9"/>
    <w:rsid w:val="00FF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5ABF8"/>
  <w15:chartTrackingRefBased/>
  <w15:docId w15:val="{C86B6AC8-45AE-A24C-8DC5-B6B4910D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B4B"/>
    <w:pPr>
      <w:spacing w:line="360" w:lineRule="auto"/>
    </w:pPr>
    <w:rPr>
      <w:rFonts w:ascii="Arial" w:hAnsi="Arial" w:cs="Times New Roman"/>
      <w:kern w:val="0"/>
      <w:lang w:eastAsia="en-GB"/>
      <w14:ligatures w14:val="none"/>
    </w:rPr>
  </w:style>
  <w:style w:type="paragraph" w:styleId="Heading1">
    <w:name w:val="heading 1"/>
    <w:basedOn w:val="Normal"/>
    <w:next w:val="Normal"/>
    <w:link w:val="Heading1Char"/>
    <w:autoRedefine/>
    <w:uiPriority w:val="9"/>
    <w:qFormat/>
    <w:rsid w:val="00417B4B"/>
    <w:pPr>
      <w:keepNext/>
      <w:keepLines/>
      <w:numPr>
        <w:numId w:val="10"/>
      </w:numPr>
      <w:pBdr>
        <w:bottom w:val="single" w:sz="18" w:space="1" w:color="0A2F41" w:themeColor="accent1" w:themeShade="80"/>
      </w:pBdr>
      <w:spacing w:before="240"/>
      <w:ind w:left="360" w:firstLine="0"/>
      <w:jc w:val="center"/>
      <w:outlineLvl w:val="0"/>
    </w:pPr>
    <w:rPr>
      <w:rFonts w:ascii="Times New Roman" w:eastAsiaTheme="majorEastAsia" w:hAnsi="Times New Roman" w:cs="Times New Roman (Headings CS)"/>
      <w:b/>
      <w:bCs/>
      <w:color w:val="0A2F41" w:themeColor="accent1" w:themeShade="80"/>
      <w:sz w:val="28"/>
      <w:szCs w:val="32"/>
      <w:lang w:eastAsia="en-US"/>
    </w:rPr>
  </w:style>
  <w:style w:type="paragraph" w:styleId="Heading2">
    <w:name w:val="heading 2"/>
    <w:basedOn w:val="Normal"/>
    <w:next w:val="Normal"/>
    <w:link w:val="Heading2Char"/>
    <w:autoRedefine/>
    <w:uiPriority w:val="9"/>
    <w:unhideWhenUsed/>
    <w:qFormat/>
    <w:rsid w:val="00D8717A"/>
    <w:pPr>
      <w:keepNext/>
      <w:keepLines/>
      <w:numPr>
        <w:ilvl w:val="1"/>
        <w:numId w:val="38"/>
      </w:numPr>
      <w:spacing w:before="100" w:beforeAutospacing="1" w:after="160"/>
      <w:outlineLvl w:val="1"/>
    </w:pPr>
    <w:rPr>
      <w:rFonts w:ascii="Times New Roman" w:eastAsiaTheme="majorEastAsia" w:hAnsi="Times New Roman" w:cstheme="majorBidi"/>
      <w:b/>
      <w:bCs/>
      <w:iCs/>
      <w:color w:val="0F4761" w:themeColor="accent1" w:themeShade="BF"/>
      <w:szCs w:val="20"/>
      <w:lang w:eastAsia="en-US"/>
    </w:rPr>
  </w:style>
  <w:style w:type="paragraph" w:styleId="Heading3">
    <w:name w:val="heading 3"/>
    <w:basedOn w:val="Normal"/>
    <w:next w:val="Normal"/>
    <w:link w:val="Heading3Char"/>
    <w:autoRedefine/>
    <w:uiPriority w:val="9"/>
    <w:unhideWhenUsed/>
    <w:qFormat/>
    <w:rsid w:val="00D8717A"/>
    <w:pPr>
      <w:keepNext/>
      <w:keepLines/>
      <w:spacing w:before="40"/>
      <w:outlineLvl w:val="2"/>
    </w:pPr>
    <w:rPr>
      <w:rFonts w:ascii="Times New Roman" w:eastAsiaTheme="majorEastAsia" w:hAnsi="Times New Roman" w:cs="Arial"/>
      <w:i/>
      <w:color w:val="0A2F40" w:themeColor="accent1" w:themeShade="7F"/>
    </w:rPr>
  </w:style>
  <w:style w:type="paragraph" w:styleId="Heading4">
    <w:name w:val="heading 4"/>
    <w:basedOn w:val="Normal"/>
    <w:next w:val="Normal"/>
    <w:link w:val="Heading4Char"/>
    <w:autoRedefine/>
    <w:uiPriority w:val="9"/>
    <w:unhideWhenUsed/>
    <w:qFormat/>
    <w:rsid w:val="00417B4B"/>
    <w:pPr>
      <w:keepNext/>
      <w:keepLines/>
      <w:spacing w:before="40" w:beforeAutospacing="1"/>
      <w:outlineLvl w:val="3"/>
    </w:pPr>
    <w:rPr>
      <w:rFonts w:ascii="Times New Roman" w:eastAsiaTheme="majorEastAsia" w:hAnsi="Times New Roman" w:cstheme="majorBidi"/>
      <w:i/>
      <w:iCs/>
      <w:color w:val="45B0E1" w:themeColor="accent1" w:themeTint="99"/>
    </w:rPr>
  </w:style>
  <w:style w:type="paragraph" w:styleId="Heading5">
    <w:name w:val="heading 5"/>
    <w:basedOn w:val="Normal"/>
    <w:next w:val="Normal"/>
    <w:link w:val="Heading5Char"/>
    <w:autoRedefine/>
    <w:uiPriority w:val="9"/>
    <w:unhideWhenUsed/>
    <w:qFormat/>
    <w:rsid w:val="00417B4B"/>
    <w:pPr>
      <w:keepNext/>
      <w:keepLines/>
      <w:numPr>
        <w:ilvl w:val="4"/>
        <w:numId w:val="25"/>
      </w:numPr>
      <w:spacing w:before="40"/>
      <w:outlineLvl w:val="4"/>
    </w:pPr>
    <w:rPr>
      <w:rFonts w:eastAsiaTheme="majorEastAsia" w:cstheme="majorBidi"/>
      <w:i/>
      <w:color w:val="83CAEB" w:themeColor="accent1" w:themeTint="66"/>
    </w:rPr>
  </w:style>
  <w:style w:type="paragraph" w:styleId="Heading6">
    <w:name w:val="heading 6"/>
    <w:aliases w:val="Heading 5 New"/>
    <w:basedOn w:val="Normal"/>
    <w:next w:val="Normal"/>
    <w:link w:val="Heading6Char"/>
    <w:autoRedefine/>
    <w:uiPriority w:val="9"/>
    <w:unhideWhenUsed/>
    <w:qFormat/>
    <w:rsid w:val="00AD56B8"/>
    <w:pPr>
      <w:keepNext/>
      <w:keepLines/>
      <w:numPr>
        <w:ilvl w:val="5"/>
        <w:numId w:val="34"/>
      </w:numPr>
      <w:spacing w:before="220" w:beforeAutospacing="1" w:after="120"/>
      <w:outlineLvl w:val="5"/>
    </w:pPr>
    <w:rPr>
      <w:rFonts w:eastAsiaTheme="majorEastAsia" w:cstheme="majorBidi"/>
      <w:i/>
      <w:iCs/>
      <w:color w:val="45B0E1" w:themeColor="accent1" w:themeTint="99"/>
    </w:rPr>
  </w:style>
  <w:style w:type="paragraph" w:styleId="Heading7">
    <w:name w:val="heading 7"/>
    <w:basedOn w:val="Normal"/>
    <w:next w:val="Normal"/>
    <w:link w:val="Heading7Char"/>
    <w:uiPriority w:val="9"/>
    <w:semiHidden/>
    <w:unhideWhenUsed/>
    <w:qFormat/>
    <w:rsid w:val="005E035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035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035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17B4B"/>
    <w:rPr>
      <w:rFonts w:ascii="Times New Roman" w:eastAsiaTheme="majorEastAsia" w:hAnsi="Times New Roman" w:cstheme="majorBidi"/>
      <w:i/>
      <w:iCs/>
      <w:color w:val="45B0E1" w:themeColor="accent1" w:themeTint="99"/>
      <w:kern w:val="0"/>
      <w:lang w:eastAsia="en-GB"/>
      <w14:ligatures w14:val="none"/>
    </w:rPr>
  </w:style>
  <w:style w:type="character" w:customStyle="1" w:styleId="Heading3Char">
    <w:name w:val="Heading 3 Char"/>
    <w:basedOn w:val="DefaultParagraphFont"/>
    <w:link w:val="Heading3"/>
    <w:uiPriority w:val="9"/>
    <w:rsid w:val="00417B4B"/>
    <w:rPr>
      <w:rFonts w:ascii="Times New Roman" w:eastAsiaTheme="majorEastAsia" w:hAnsi="Times New Roman" w:cs="Arial"/>
      <w:i/>
      <w:color w:val="0A2F40" w:themeColor="accent1" w:themeShade="7F"/>
      <w:kern w:val="0"/>
      <w:lang w:eastAsia="en-GB"/>
      <w14:ligatures w14:val="none"/>
    </w:rPr>
  </w:style>
  <w:style w:type="character" w:customStyle="1" w:styleId="Heading6Char">
    <w:name w:val="Heading 6 Char"/>
    <w:aliases w:val="Heading 5 New Char"/>
    <w:basedOn w:val="DefaultParagraphFont"/>
    <w:link w:val="Heading6"/>
    <w:uiPriority w:val="9"/>
    <w:rsid w:val="00AD56B8"/>
    <w:rPr>
      <w:rFonts w:ascii="Arial" w:eastAsiaTheme="majorEastAsia" w:hAnsi="Arial" w:cstheme="majorBidi"/>
      <w:i/>
      <w:iCs/>
      <w:color w:val="45B0E1" w:themeColor="accent1" w:themeTint="99"/>
      <w:kern w:val="0"/>
      <w:lang w:eastAsia="en-GB"/>
      <w14:ligatures w14:val="none"/>
    </w:rPr>
  </w:style>
  <w:style w:type="character" w:customStyle="1" w:styleId="Heading1Char">
    <w:name w:val="Heading 1 Char"/>
    <w:basedOn w:val="DefaultParagraphFont"/>
    <w:link w:val="Heading1"/>
    <w:uiPriority w:val="9"/>
    <w:rsid w:val="00417B4B"/>
    <w:rPr>
      <w:rFonts w:ascii="Times New Roman" w:eastAsiaTheme="majorEastAsia" w:hAnsi="Times New Roman" w:cs="Times New Roman (Headings CS)"/>
      <w:b/>
      <w:bCs/>
      <w:color w:val="0A2F41" w:themeColor="accent1" w:themeShade="80"/>
      <w:kern w:val="0"/>
      <w:sz w:val="28"/>
      <w:szCs w:val="32"/>
      <w14:ligatures w14:val="none"/>
    </w:rPr>
  </w:style>
  <w:style w:type="character" w:customStyle="1" w:styleId="Heading2Char">
    <w:name w:val="Heading 2 Char"/>
    <w:basedOn w:val="DefaultParagraphFont"/>
    <w:link w:val="Heading2"/>
    <w:uiPriority w:val="9"/>
    <w:rsid w:val="00D8717A"/>
    <w:rPr>
      <w:rFonts w:ascii="Times New Roman" w:eastAsiaTheme="majorEastAsia" w:hAnsi="Times New Roman" w:cstheme="majorBidi"/>
      <w:b/>
      <w:bCs/>
      <w:iCs/>
      <w:color w:val="0F4761" w:themeColor="accent1" w:themeShade="BF"/>
      <w:kern w:val="0"/>
      <w:szCs w:val="20"/>
      <w14:ligatures w14:val="none"/>
    </w:rPr>
  </w:style>
  <w:style w:type="character" w:customStyle="1" w:styleId="Heading5Char">
    <w:name w:val="Heading 5 Char"/>
    <w:basedOn w:val="DefaultParagraphFont"/>
    <w:link w:val="Heading5"/>
    <w:uiPriority w:val="9"/>
    <w:rsid w:val="00417B4B"/>
    <w:rPr>
      <w:rFonts w:ascii="Arial" w:eastAsiaTheme="majorEastAsia" w:hAnsi="Arial" w:cstheme="majorBidi"/>
      <w:i/>
      <w:color w:val="83CAEB" w:themeColor="accent1" w:themeTint="66"/>
      <w:kern w:val="0"/>
      <w:lang w:eastAsia="en-GB"/>
      <w14:ligatures w14:val="none"/>
    </w:rPr>
  </w:style>
  <w:style w:type="character" w:customStyle="1" w:styleId="Heading7Char">
    <w:name w:val="Heading 7 Char"/>
    <w:basedOn w:val="DefaultParagraphFont"/>
    <w:link w:val="Heading7"/>
    <w:uiPriority w:val="9"/>
    <w:semiHidden/>
    <w:rsid w:val="005E035B"/>
    <w:rPr>
      <w:rFonts w:eastAsiaTheme="majorEastAsia" w:cstheme="majorBidi"/>
      <w:color w:val="595959" w:themeColor="text1" w:themeTint="A6"/>
      <w:kern w:val="0"/>
      <w:lang w:eastAsia="en-GB"/>
      <w14:ligatures w14:val="none"/>
    </w:rPr>
  </w:style>
  <w:style w:type="character" w:customStyle="1" w:styleId="Heading8Char">
    <w:name w:val="Heading 8 Char"/>
    <w:basedOn w:val="DefaultParagraphFont"/>
    <w:link w:val="Heading8"/>
    <w:uiPriority w:val="9"/>
    <w:semiHidden/>
    <w:rsid w:val="005E035B"/>
    <w:rPr>
      <w:rFonts w:eastAsiaTheme="majorEastAsia" w:cstheme="majorBidi"/>
      <w:i/>
      <w:iCs/>
      <w:color w:val="272727" w:themeColor="text1" w:themeTint="D8"/>
      <w:kern w:val="0"/>
      <w:lang w:eastAsia="en-GB"/>
      <w14:ligatures w14:val="none"/>
    </w:rPr>
  </w:style>
  <w:style w:type="character" w:customStyle="1" w:styleId="Heading9Char">
    <w:name w:val="Heading 9 Char"/>
    <w:basedOn w:val="DefaultParagraphFont"/>
    <w:link w:val="Heading9"/>
    <w:uiPriority w:val="9"/>
    <w:semiHidden/>
    <w:rsid w:val="005E035B"/>
    <w:rPr>
      <w:rFonts w:eastAsiaTheme="majorEastAsia" w:cstheme="majorBidi"/>
      <w:color w:val="272727" w:themeColor="text1" w:themeTint="D8"/>
      <w:kern w:val="0"/>
      <w:lang w:eastAsia="en-GB"/>
      <w14:ligatures w14:val="none"/>
    </w:rPr>
  </w:style>
  <w:style w:type="paragraph" w:styleId="Title">
    <w:name w:val="Title"/>
    <w:basedOn w:val="Normal"/>
    <w:next w:val="Normal"/>
    <w:link w:val="TitleChar"/>
    <w:uiPriority w:val="10"/>
    <w:qFormat/>
    <w:rsid w:val="005E0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35B"/>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5E035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35B"/>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5E03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035B"/>
    <w:rPr>
      <w:rFonts w:ascii="Arial" w:hAnsi="Arial" w:cs="Times New Roman"/>
      <w:i/>
      <w:iCs/>
      <w:color w:val="404040" w:themeColor="text1" w:themeTint="BF"/>
      <w:kern w:val="0"/>
      <w:lang w:eastAsia="en-GB"/>
      <w14:ligatures w14:val="none"/>
    </w:rPr>
  </w:style>
  <w:style w:type="paragraph" w:styleId="ListParagraph">
    <w:name w:val="List Paragraph"/>
    <w:basedOn w:val="Normal"/>
    <w:uiPriority w:val="34"/>
    <w:qFormat/>
    <w:rsid w:val="005E035B"/>
    <w:pPr>
      <w:ind w:left="720"/>
      <w:contextualSpacing/>
    </w:pPr>
  </w:style>
  <w:style w:type="character" w:styleId="IntenseEmphasis">
    <w:name w:val="Intense Emphasis"/>
    <w:basedOn w:val="DefaultParagraphFont"/>
    <w:uiPriority w:val="21"/>
    <w:qFormat/>
    <w:rsid w:val="005E035B"/>
    <w:rPr>
      <w:i/>
      <w:iCs/>
      <w:color w:val="0F4761" w:themeColor="accent1" w:themeShade="BF"/>
    </w:rPr>
  </w:style>
  <w:style w:type="paragraph" w:styleId="IntenseQuote">
    <w:name w:val="Intense Quote"/>
    <w:basedOn w:val="Normal"/>
    <w:next w:val="Normal"/>
    <w:link w:val="IntenseQuoteChar"/>
    <w:uiPriority w:val="30"/>
    <w:qFormat/>
    <w:rsid w:val="005E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35B"/>
    <w:rPr>
      <w:rFonts w:ascii="Arial" w:hAnsi="Arial" w:cs="Times New Roman"/>
      <w:i/>
      <w:iCs/>
      <w:color w:val="0F4761" w:themeColor="accent1" w:themeShade="BF"/>
      <w:kern w:val="0"/>
      <w:lang w:eastAsia="en-GB"/>
      <w14:ligatures w14:val="none"/>
    </w:rPr>
  </w:style>
  <w:style w:type="character" w:styleId="IntenseReference">
    <w:name w:val="Intense Reference"/>
    <w:basedOn w:val="DefaultParagraphFont"/>
    <w:uiPriority w:val="32"/>
    <w:qFormat/>
    <w:rsid w:val="005E035B"/>
    <w:rPr>
      <w:b/>
      <w:bCs/>
      <w:smallCaps/>
      <w:color w:val="0F4761" w:themeColor="accent1" w:themeShade="BF"/>
      <w:spacing w:val="5"/>
    </w:rPr>
  </w:style>
  <w:style w:type="character" w:styleId="Strong">
    <w:name w:val="Strong"/>
    <w:basedOn w:val="DefaultParagraphFont"/>
    <w:uiPriority w:val="22"/>
    <w:qFormat/>
    <w:rsid w:val="00E90237"/>
    <w:rPr>
      <w:b/>
      <w:bCs/>
    </w:rPr>
  </w:style>
  <w:style w:type="paragraph" w:styleId="NormalWeb">
    <w:name w:val="Normal (Web)"/>
    <w:basedOn w:val="Normal"/>
    <w:uiPriority w:val="99"/>
    <w:semiHidden/>
    <w:unhideWhenUsed/>
    <w:rsid w:val="00A16AC3"/>
    <w:pPr>
      <w:spacing w:before="100" w:beforeAutospacing="1" w:after="100" w:afterAutospacing="1" w:line="240" w:lineRule="auto"/>
    </w:pPr>
    <w:rPr>
      <w:rFonts w:ascii="Times New Roman" w:hAnsi="Times New Roman"/>
    </w:rPr>
  </w:style>
  <w:style w:type="paragraph" w:styleId="Header">
    <w:name w:val="header"/>
    <w:basedOn w:val="Normal"/>
    <w:link w:val="HeaderChar"/>
    <w:uiPriority w:val="99"/>
    <w:unhideWhenUsed/>
    <w:rsid w:val="000C196B"/>
    <w:pPr>
      <w:tabs>
        <w:tab w:val="center" w:pos="4513"/>
        <w:tab w:val="right" w:pos="9026"/>
      </w:tabs>
      <w:spacing w:line="240" w:lineRule="auto"/>
    </w:pPr>
  </w:style>
  <w:style w:type="character" w:customStyle="1" w:styleId="HeaderChar">
    <w:name w:val="Header Char"/>
    <w:basedOn w:val="DefaultParagraphFont"/>
    <w:link w:val="Header"/>
    <w:uiPriority w:val="99"/>
    <w:rsid w:val="000C196B"/>
    <w:rPr>
      <w:rFonts w:ascii="Arial" w:hAnsi="Arial" w:cs="Times New Roman"/>
      <w:kern w:val="0"/>
      <w:lang w:eastAsia="en-GB"/>
      <w14:ligatures w14:val="none"/>
    </w:rPr>
  </w:style>
  <w:style w:type="paragraph" w:styleId="Footer">
    <w:name w:val="footer"/>
    <w:basedOn w:val="Normal"/>
    <w:link w:val="FooterChar"/>
    <w:uiPriority w:val="99"/>
    <w:unhideWhenUsed/>
    <w:rsid w:val="000C196B"/>
    <w:pPr>
      <w:tabs>
        <w:tab w:val="center" w:pos="4513"/>
        <w:tab w:val="right" w:pos="9026"/>
      </w:tabs>
      <w:spacing w:line="240" w:lineRule="auto"/>
    </w:pPr>
  </w:style>
  <w:style w:type="character" w:customStyle="1" w:styleId="FooterChar">
    <w:name w:val="Footer Char"/>
    <w:basedOn w:val="DefaultParagraphFont"/>
    <w:link w:val="Footer"/>
    <w:uiPriority w:val="99"/>
    <w:rsid w:val="000C196B"/>
    <w:rPr>
      <w:rFonts w:ascii="Arial" w:hAnsi="Arial" w:cs="Times New Roman"/>
      <w:kern w:val="0"/>
      <w:lang w:eastAsia="en-GB"/>
      <w14:ligatures w14:val="none"/>
    </w:rPr>
  </w:style>
  <w:style w:type="character" w:styleId="CommentReference">
    <w:name w:val="annotation reference"/>
    <w:basedOn w:val="DefaultParagraphFont"/>
    <w:uiPriority w:val="99"/>
    <w:semiHidden/>
    <w:unhideWhenUsed/>
    <w:rsid w:val="00952ADE"/>
    <w:rPr>
      <w:sz w:val="16"/>
      <w:szCs w:val="16"/>
    </w:rPr>
  </w:style>
  <w:style w:type="paragraph" w:styleId="CommentText">
    <w:name w:val="annotation text"/>
    <w:basedOn w:val="Normal"/>
    <w:link w:val="CommentTextChar"/>
    <w:uiPriority w:val="99"/>
    <w:semiHidden/>
    <w:unhideWhenUsed/>
    <w:rsid w:val="00952ADE"/>
    <w:pPr>
      <w:spacing w:line="240" w:lineRule="auto"/>
    </w:pPr>
    <w:rPr>
      <w:sz w:val="20"/>
      <w:szCs w:val="20"/>
    </w:rPr>
  </w:style>
  <w:style w:type="character" w:customStyle="1" w:styleId="CommentTextChar">
    <w:name w:val="Comment Text Char"/>
    <w:basedOn w:val="DefaultParagraphFont"/>
    <w:link w:val="CommentText"/>
    <w:uiPriority w:val="99"/>
    <w:semiHidden/>
    <w:rsid w:val="00952ADE"/>
    <w:rPr>
      <w:rFonts w:ascii="Arial"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52ADE"/>
    <w:rPr>
      <w:b/>
      <w:bCs/>
    </w:rPr>
  </w:style>
  <w:style w:type="character" w:customStyle="1" w:styleId="CommentSubjectChar">
    <w:name w:val="Comment Subject Char"/>
    <w:basedOn w:val="CommentTextChar"/>
    <w:link w:val="CommentSubject"/>
    <w:uiPriority w:val="99"/>
    <w:semiHidden/>
    <w:rsid w:val="00952ADE"/>
    <w:rPr>
      <w:rFonts w:ascii="Arial" w:hAnsi="Arial"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6110ba-260c-4253-8c82-947d59acbb05">
      <Terms xmlns="http://schemas.microsoft.com/office/infopath/2007/PartnerControls"/>
    </lcf76f155ced4ddcb4097134ff3c332f>
    <_Flow_SignoffStatus xmlns="986110ba-260c-4253-8c82-947d59acbb05" xsi:nil="true"/>
    <TaxCatchAll xmlns="9b72a613-eb68-4d66-8423-11c67546ce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5B96D05D89A4BAD2BFEEE8B551EE4" ma:contentTypeVersion="19" ma:contentTypeDescription="Create a new document." ma:contentTypeScope="" ma:versionID="01be49e1732aa4c2d0b30554a133c474">
  <xsd:schema xmlns:xsd="http://www.w3.org/2001/XMLSchema" xmlns:xs="http://www.w3.org/2001/XMLSchema" xmlns:p="http://schemas.microsoft.com/office/2006/metadata/properties" xmlns:ns2="986110ba-260c-4253-8c82-947d59acbb05" xmlns:ns3="9b72a613-eb68-4d66-8423-11c67546cedf" targetNamespace="http://schemas.microsoft.com/office/2006/metadata/properties" ma:root="true" ma:fieldsID="e6b22d9f67a4c1ae305f5c344d5bb70c" ns2:_="" ns3:_="">
    <xsd:import namespace="986110ba-260c-4253-8c82-947d59acbb05"/>
    <xsd:import namespace="9b72a613-eb68-4d66-8423-11c67546ce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110ba-260c-4253-8c82-947d59acb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72a613-eb68-4d66-8423-11c67546ce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d89a384-2fd2-42fd-b994-5466fa520434}" ma:internalName="TaxCatchAll" ma:showField="CatchAllData" ma:web="9b72a613-eb68-4d66-8423-11c67546c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70C38-898A-4607-8922-B150BCC6E0F8}">
  <ds:schemaRefs>
    <ds:schemaRef ds:uri="http://schemas.microsoft.com/office/2006/metadata/properties"/>
    <ds:schemaRef ds:uri="http://schemas.microsoft.com/office/infopath/2007/PartnerControls"/>
    <ds:schemaRef ds:uri="986110ba-260c-4253-8c82-947d59acbb05"/>
    <ds:schemaRef ds:uri="9b72a613-eb68-4d66-8423-11c67546cedf"/>
  </ds:schemaRefs>
</ds:datastoreItem>
</file>

<file path=customXml/itemProps2.xml><?xml version="1.0" encoding="utf-8"?>
<ds:datastoreItem xmlns:ds="http://schemas.openxmlformats.org/officeDocument/2006/customXml" ds:itemID="{FADDCBDC-821B-4FB7-9DE9-3D1053264BC7}"/>
</file>

<file path=customXml/itemProps3.xml><?xml version="1.0" encoding="utf-8"?>
<ds:datastoreItem xmlns:ds="http://schemas.openxmlformats.org/officeDocument/2006/customXml" ds:itemID="{EC589562-C407-42AD-ADFE-D1A3C34A7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1312</Words>
  <Characters>7483</Characters>
  <Application>Microsoft Office Word</Application>
  <DocSecurity>0</DocSecurity>
  <Lines>62</Lines>
  <Paragraphs>17</Paragraphs>
  <ScaleCrop>false</ScaleCrop>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Couchinho</dc:creator>
  <cp:keywords/>
  <dc:description/>
  <cp:lastModifiedBy>Ania Couchinho</cp:lastModifiedBy>
  <cp:revision>35</cp:revision>
  <dcterms:created xsi:type="dcterms:W3CDTF">2025-12-29T14:48:00Z</dcterms:created>
  <dcterms:modified xsi:type="dcterms:W3CDTF">2026-01-20T17:49:00Z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0x0101006AB5B96D05D89A4BAD2BFEEE8B551EE4</vt:lpwstr>
  </property>
  <property fmtid="{D5CDD505-2E9C-101B-9397-08002B2CF9AE}" pid="3" name="MediaServiceImageTags">
    <vt:lpwstr/>
  </property>
</Properties>
</file>